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26-320</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APPEALS, AND LICENSING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 71</w:t>
      </w:r>
    </w:p>
    <w:p>
      <w:pPr>
        <w:spacing w:before="0" w:after="0" w:line="480"/>
        <w:ind w:left="120"/>
        <w:jc w:val="center"/>
      </w:pPr>
      <w:r>
        <w:rPr>
          <w:rFonts w:ascii="Times New Roman" w:hAnsi="Times New Roman"/>
          <w:b w:val="false"/>
          <w:i w:val="false"/>
          <w:color w:val="000000"/>
          <w:sz w:val="24"/>
        </w:rPr>
        <w:t>“Subacute Mental Health Care Facilities”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135G.10</w:t>
      </w:r>
    </w:p>
    <w:p>
      <w:pPr>
        <w:spacing w:before="0" w:after="0" w:line="480"/>
        <w:ind w:left="120"/>
        <w:jc w:val="both"/>
      </w:pPr>
      <w:r>
        <w:rPr>
          <w:rFonts w:ascii="Times New Roman" w:hAnsi="Times New Roman"/>
          <w:b w:val="false"/>
          <w:i w:val="false"/>
          <w:color w:val="000000"/>
          <w:sz w:val="24"/>
        </w:rPr>
        <w:t>State or federal law(s) implemented by the rulemaking: Iowa Code chapter 135G as amended by 2026 Iowa Acts, House File 2543</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 xml:space="preserve">11 a.m. </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Inspections, Appeals, and Licensing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Jeremiah Junker</w:t>
            </w:r>
            <w:r>
              <w:br/>
            </w:r>
            <w:r>
              <w:rPr>
                <w:rFonts w:ascii="Times New Roman" w:hAnsi="Times New Roman"/>
                <w:b w:val="false"/>
                <w:i w:val="false"/>
                <w:color w:val="000000"/>
                <w:sz w:val="14"/>
              </w:rPr>
              <w:t>Department of Inspections, Appeals, and Licensing</w:t>
            </w:r>
            <w:r>
              <w:br/>
            </w: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jeremiah.junker@dia.iowa.gov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repromulgate Chapter 71 and implement Iowa Code chapter 135G in accordance with the goals and directives of Executive Order 10, as well as to amend Chapter 71 to implement 2026 Iowa Acts, House File 2543.</w:t>
      </w:r>
    </w:p>
    <w:p>
      <w:pPr>
        <w:spacing w:before="0" w:after="0" w:line="480"/>
        <w:ind w:left="120"/>
        <w:jc w:val="both"/>
      </w:pPr>
      <w:r>
        <w:rPr>
          <w:rFonts w:ascii="Times New Roman" w:hAnsi="Times New Roman"/>
          <w:b w:val="false"/>
          <w:i w:val="false"/>
          <w:color w:val="000000"/>
          <w:sz w:val="24"/>
        </w:rPr>
        <w:t>    Pursuant to Iowa Code section 135G.2, “the purpose of (Iowa Code chapter 135G) is to provide for the development, establishment, and enforcement of basic standards for the operation, construction, and maintenance of a subacute care facility which will ensure the safe and adequate diagnosis, evaluation, and treatment of persons with serious and persistent mental illness so that the persons are able to experience recovery and live successfully in the community.”</w:t>
      </w:r>
    </w:p>
    <w:p>
      <w:pPr>
        <w:spacing w:before="0" w:after="0" w:line="480"/>
        <w:ind w:left="120"/>
        <w:jc w:val="both"/>
      </w:pPr>
      <w:r>
        <w:rPr>
          <w:rFonts w:ascii="Times New Roman" w:hAnsi="Times New Roman"/>
          <w:b w:val="false"/>
          <w:i w:val="false"/>
          <w:color w:val="000000"/>
          <w:sz w:val="24"/>
        </w:rPr>
        <w:t>    Iowa Code section 135G.10(1) states the Department and the Department of Health and Human Services (HHS) “shall collaborate in establishing standards for licensing of subacute care facilities to achieve all of the following objectives: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xml:space="preserve"> Subacute mental health services are provided based on sound, proven clinical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xml:space="preserve"> Subacute mental health services are established in a manner that allows the services to be included in the federal medical assistance state plan.”</w:t>
      </w:r>
    </w:p>
    <w:p>
      <w:pPr>
        <w:spacing w:before="0" w:after="0" w:line="480"/>
        <w:ind w:left="120"/>
        <w:jc w:val="both"/>
      </w:pPr>
      <w:r>
        <w:rPr>
          <w:rFonts w:ascii="Times New Roman" w:hAnsi="Times New Roman"/>
          <w:b w:val="false"/>
          <w:i w:val="false"/>
          <w:color w:val="000000"/>
          <w:sz w:val="24"/>
        </w:rPr>
        <w:t>    Iowa Code section 135G.10(3) states the Department, in consultation with HHS, “shall adopt and enforce rules setting out the standards for a subacute care facility and the rights of the residents admitted to a subacute care facility.” Iowa Code section 135G.10(3) also states that the Department and HHS “shall coordinate the adoption of rules and the enforcement of the rules in order to prevent duplication of effort by the departments and of requirements of the licensee.”</w:t>
      </w:r>
    </w:p>
    <w:p>
      <w:pPr>
        <w:spacing w:before="0" w:after="0" w:line="480"/>
        <w:ind w:left="120"/>
        <w:jc w:val="both"/>
      </w:pPr>
      <w:r>
        <w:rPr>
          <w:rFonts w:ascii="Times New Roman" w:hAnsi="Times New Roman"/>
          <w:b w:val="false"/>
          <w:i w:val="false"/>
          <w:color w:val="000000"/>
          <w:sz w:val="24"/>
        </w:rPr>
        <w:t>    2026 Iowa Acts, House File 2543, makes a number of statutory amendments to Iowa Code chapter 135G that require corresponding rule changes in Chapter 71. 2026 Iowa Acts, House File 2543, also requires the Department to review and amend its rules to promote the establishment and expansion of and ease of access to subacute mental health care facilities and services, as well as to make employment criteria at a subacute mental health care facility “less stringent than the requirements for the same employment at a state mental health institute.”</w:t>
      </w:r>
    </w:p>
    <w:p>
      <w:pPr>
        <w:spacing w:before="0" w:after="0" w:line="480"/>
        <w:ind w:left="120"/>
        <w:jc w:val="both"/>
      </w:pPr>
      <w:r>
        <w:rPr>
          <w:rFonts w:ascii="Times New Roman" w:hAnsi="Times New Roman"/>
          <w:b w:val="false"/>
          <w:i w:val="false"/>
          <w:color w:val="000000"/>
          <w:sz w:val="24"/>
        </w:rPr>
        <w:t>    The references to Iowa Code chapter 135G and section 135G.1 are to that chapter and section as amended by 2026 Iowa Acts, House File 2543.</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Subacute mental health care facilities will bear some costs associated with this proposed rulemaking. However, compared to the existing Chapter 71, this proposed rulemaking should reduce costs of compliance with Chapter 71.</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Subacute mental health care facilities and residents of such facilities should benefit from this proposed rulemaking, which is intended to promote the establishment and expansion of and ease of access to subacute mental health care facilities and services, consistent with the directives of 2026 Iowa Acts, House File 2543.</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Direct costs can vary greatly based on multiple factors (including the size and/or location of the facility, bed utilization/number of residents, and availability of qualified personnel) and are not easily quantified. However, compared to the existing Chapter 71, this proposed rulemaking should reduce costs of compliance with Chapter 71.</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Indirect costs can also vary greatly based on multiple factors and are not easily measured. However, compared to the existing Chapter 71, this proposed rulemaking should reduce costs of compliance with Chapter 71. As previously noted, this proposed rulemaking is intended to promote the establishment and expansion of and ease of access to subacute mental health care facilities and services, consistent with the directives of 2026 Iowa Acts, House File 2543.</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does not anticipate any implementation or enforcement costs beyond those arising from its statutory obligation to implement and enforce Iowa Code chapter 135G.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Department does not anticipate any effects on State revenues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required by Executive Order 10 and 2026 Iowa Acts, House File 2543, so inaction is not an option.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It is the Department’s determination that less costly or less intrusive methods do not exist that would properly balance the purpose and directives of Iowa Code chapter 135G with the directives of Executive Order 10 and 2026 Iowa Acts, House File 2543.</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seriously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 alternative methods were seriously considered.</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It is the Department’s opinion that this proposed rulemaking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481—Chapter 71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71</w:t>
      </w:r>
    </w:p>
    <w:p>
      <w:pPr>
        <w:spacing w:before="0" w:after="0" w:line="480"/>
        <w:ind w:left="120"/>
        <w:jc w:val="center"/>
      </w:pPr>
      <w:r>
        <w:rPr>
          <w:rFonts w:ascii="Times New Roman" w:hAnsi="Times New Roman"/>
          <w:b w:val="false"/>
          <w:i w:val="false"/>
          <w:color w:val="000000"/>
          <w:sz w:val="21"/>
        </w:rPr>
        <w:t>SUBACUTE MENTAL HEALTH CARE FACILITIES</w:t>
      </w:r>
    </w:p>
    <w:p>
      <w:pPr>
        <w:spacing w:before="210" w:after="0" w:line="480"/>
        <w:ind w:left="120"/>
        <w:jc w:val="both"/>
      </w:pPr>
      <w:r>
        <w:rPr>
          <w:rFonts w:ascii="Times New Roman" w:hAnsi="Times New Roman"/>
          <w:b/>
          <w:i w:val="false"/>
          <w:color w:val="000000"/>
          <w:sz w:val="24"/>
        </w:rPr>
        <w:t>481—71.1</w:t>
      </w:r>
      <w:r>
        <w:rPr>
          <w:rFonts w:ascii="Times New Roman" w:hAnsi="Times New Roman"/>
          <w:b/>
          <w:i w:val="false"/>
          <w:color w:val="000000"/>
          <w:sz w:val="24"/>
        </w:rPr>
        <w:t xml:space="preserve">(135G) </w:t>
      </w:r>
      <w:r>
        <w:rPr>
          <w:rFonts w:ascii="Times New Roman" w:hAnsi="Times New Roman"/>
          <w:b/>
          <w:i w:val="false"/>
          <w:color w:val="000000"/>
          <w:sz w:val="24"/>
        </w:rPr>
        <w:t xml:space="preserve">Purpose—subacute mental health services. </w:t>
      </w:r>
      <w:r>
        <w:rPr>
          <w:rFonts w:ascii="Times New Roman" w:hAnsi="Times New Roman"/>
          <w:b w:val="false"/>
          <w:i w:val="false"/>
          <w:color w:val="000000"/>
          <w:sz w:val="24"/>
        </w:rPr>
        <w:t>Subacute mental health services are intended to be short-term, intensive, recovery-oriented services designed to stabilize an individual who is experiencing a decreased level of functioning due to a mental health condition.</w:t>
      </w:r>
    </w:p>
    <w:p>
      <w:pPr>
        <w:spacing w:before="0" w:after="0" w:line="480"/>
        <w:ind w:left="120"/>
        <w:jc w:val="both"/>
      </w:pPr>
      <w:r>
        <w:rPr>
          <w:rFonts w:ascii="Times New Roman" w:hAnsi="Times New Roman"/>
          <w:b/>
          <w:i w:val="false"/>
          <w:color w:val="000000"/>
          <w:sz w:val="24"/>
        </w:rPr>
        <w:t>481—71.2</w:t>
      </w:r>
      <w:r>
        <w:rPr>
          <w:rFonts w:ascii="Times New Roman" w:hAnsi="Times New Roman"/>
          <w:b/>
          <w:i w:val="false"/>
          <w:color w:val="000000"/>
          <w:sz w:val="24"/>
        </w:rPr>
        <w:t xml:space="preserve">(135G)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set out in Iowa Code section </w:t>
      </w:r>
      <w:hyperlink r:id="rId5">
        <w:r>
          <w:rPr>
            <w:rStyle w:val="Hyperlink"/>
            <w:rFonts w:ascii="Times New Roman" w:hAnsi="Times New Roman"/>
            <w:b w:val="false"/>
            <w:i w:val="false"/>
            <w:color w:val="000000"/>
            <w:sz w:val="24"/>
          </w:rPr>
          <w:t>135G.1</w:t>
        </w:r>
      </w:hyperlink>
      <w:r>
        <w:rPr>
          <w:rFonts w:ascii="Times New Roman" w:hAnsi="Times New Roman"/>
          <w:b w:val="false"/>
          <w:i w:val="false"/>
          <w:color w:val="000000"/>
          <w:sz w:val="24"/>
        </w:rPr>
        <w:t xml:space="preserve"> are adopted by reference in the rules. Additionally, the following definitions apply to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“Administrator”</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 who administers, manages, supervises, and is in general administrative charge of a subacute care facility, whether or not such individual has an ownership interest in the facility and whether or not the functions and duties are shared with one or more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“Assessment”</w:t>
      </w:r>
      <w:r>
        <w:rPr>
          <w:rFonts w:ascii="Times New Roman" w:hAnsi="Times New Roman"/>
          <w:b w:val="false"/>
          <w:i/>
          <w:color w:val="000000"/>
          <w:sz w:val="24"/>
          <w:u w:val="single"/>
        </w:rPr>
        <w:t> </w:t>
      </w:r>
      <w:r>
        <w:rPr>
          <w:rFonts w:ascii="Times New Roman" w:hAnsi="Times New Roman"/>
          <w:b w:val="false"/>
          <w:i w:val="false"/>
          <w:color w:val="000000"/>
          <w:sz w:val="24"/>
        </w:rPr>
        <w:t>means the evaluation of a person in psychiatric crisis in order to ascertain the person’s current and previous level of functioning, psychiatric and medical history, potential for dangerousness, current psychiatric and medical condition factors contributing to the crisis and support systems that are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“Distinct part”</w:t>
      </w:r>
      <w:r>
        <w:rPr>
          <w:rFonts w:ascii="Times New Roman" w:hAnsi="Times New Roman"/>
          <w:b w:val="false"/>
          <w:i/>
          <w:color w:val="000000"/>
          <w:sz w:val="24"/>
          <w:u w:val="single"/>
        </w:rPr>
        <w:t> </w:t>
      </w:r>
      <w:r>
        <w:rPr>
          <w:rFonts w:ascii="Times New Roman" w:hAnsi="Times New Roman"/>
          <w:b w:val="false"/>
          <w:i w:val="false"/>
          <w:color w:val="000000"/>
          <w:sz w:val="24"/>
        </w:rPr>
        <w:t>means a clearly identifiable area or section within a health care facility, consisting of at least a residential unit, wing, floor, or building containing contiguous 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“Incident”</w:t>
      </w:r>
      <w:r>
        <w:rPr>
          <w:rFonts w:ascii="Times New Roman" w:hAnsi="Times New Roman"/>
          <w:b w:val="false"/>
          <w:i/>
          <w:color w:val="000000"/>
          <w:sz w:val="24"/>
          <w:u w:val="single"/>
        </w:rPr>
        <w:t> </w:t>
      </w:r>
      <w:r>
        <w:rPr>
          <w:rFonts w:ascii="Times New Roman" w:hAnsi="Times New Roman"/>
          <w:b w:val="false"/>
          <w:i w:val="false"/>
          <w:color w:val="000000"/>
          <w:sz w:val="24"/>
        </w:rPr>
        <w:t>means an unusual occurrence within a facility or on its premises affecting residents, visitors, or employees whether or not there is apparent injury or where hidden injury may have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“Medication”</w:t>
      </w:r>
      <w:r>
        <w:rPr>
          <w:rFonts w:ascii="Times New Roman" w:hAnsi="Times New Roman"/>
          <w:b w:val="false"/>
          <w:i/>
          <w:color w:val="000000"/>
          <w:sz w:val="24"/>
          <w:u w:val="single"/>
        </w:rPr>
        <w:t> </w:t>
      </w:r>
      <w:r>
        <w:rPr>
          <w:rFonts w:ascii="Times New Roman" w:hAnsi="Times New Roman"/>
          <w:b w:val="false"/>
          <w:i w:val="false"/>
          <w:color w:val="000000"/>
          <w:sz w:val="24"/>
        </w:rPr>
        <w:t>means any drug, including over-the-counter substances ordered and administered under the direction of a physician, physician associate or advanced registered nurse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“Peer support”</w:t>
      </w:r>
      <w:r>
        <w:rPr>
          <w:rFonts w:ascii="Times New Roman" w:hAnsi="Times New Roman"/>
          <w:b w:val="false"/>
          <w:i/>
          <w:color w:val="000000"/>
          <w:sz w:val="24"/>
          <w:u w:val="single"/>
        </w:rPr>
        <w:t> </w:t>
      </w:r>
      <w:r>
        <w:rPr>
          <w:rFonts w:ascii="Times New Roman" w:hAnsi="Times New Roman"/>
          <w:b w:val="false"/>
          <w:i w:val="false"/>
          <w:color w:val="000000"/>
          <w:sz w:val="24"/>
        </w:rPr>
        <w:t>means services that are provided by individuals in recovery from serious mental illness and delivered to others who also have 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“Psychiatric care”</w:t>
      </w:r>
      <w:r>
        <w:rPr>
          <w:rFonts w:ascii="Times New Roman" w:hAnsi="Times New Roman"/>
          <w:b w:val="false"/>
          <w:i/>
          <w:color w:val="000000"/>
          <w:sz w:val="24"/>
          <w:u w:val="single"/>
        </w:rPr>
        <w:t> </w:t>
      </w:r>
      <w:r>
        <w:rPr>
          <w:rFonts w:ascii="Times New Roman" w:hAnsi="Times New Roman"/>
          <w:b w:val="false"/>
          <w:i w:val="false"/>
          <w:color w:val="000000"/>
          <w:sz w:val="24"/>
        </w:rPr>
        <w:t>means the provision of care to patients in a psychiatric unit of an acute care hospital; a freestanding psychiatric hospital; or a mental health clinic.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“Recovery”</w:t>
      </w:r>
      <w:r>
        <w:rPr>
          <w:rFonts w:ascii="Times New Roman" w:hAnsi="Times New Roman"/>
          <w:b w:val="false"/>
          <w:i/>
          <w:color w:val="000000"/>
          <w:sz w:val="24"/>
          <w:u w:val="single"/>
        </w:rPr>
        <w:t> </w:t>
      </w:r>
      <w:r>
        <w:rPr>
          <w:rFonts w:ascii="Times New Roman" w:hAnsi="Times New Roman"/>
          <w:b w:val="false"/>
          <w:i w:val="false"/>
          <w:color w:val="000000"/>
          <w:sz w:val="24"/>
        </w:rPr>
        <w:t>means a process of change through which individuals improve their health and wellness, live a self-directed life, and strive to reach their full potential.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“Responsible party”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person who signs or cosigns the admission agreement required in rule </w:t>
      </w:r>
      <w:hyperlink r:id="rId6">
        <w:r>
          <w:rPr>
            <w:rStyle w:val="Hyperlink"/>
            <w:rFonts w:ascii="Times New Roman" w:hAnsi="Times New Roman"/>
            <w:b w:val="false"/>
            <w:i w:val="false"/>
            <w:color w:val="000000"/>
            <w:sz w:val="24"/>
          </w:rPr>
          <w:t>481—71.13</w:t>
        </w:r>
      </w:hyperlink>
      <w:r>
        <w:rPr>
          <w:rFonts w:ascii="Times New Roman" w:hAnsi="Times New Roman"/>
          <w:b w:val="false"/>
          <w:i w:val="false"/>
          <w:color w:val="000000"/>
          <w:sz w:val="24"/>
        </w:rPr>
        <w:t>(135G) or the resident’s guardian or conservator if one has been appointed. In the event that a resident does not have a guardian, conservator or other person signing the admission agreement, the term “responsible party” shall include the resident’s sponsoring agency (e.g., the department of health and human services, the U.S. Department of Veterans Affairs, a religious group, fraternal organization, or foundation that assumes responsibility and advocates for its client patients and pays for their health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“Restraint”</w:t>
      </w:r>
      <w:r>
        <w:rPr>
          <w:rFonts w:ascii="Times New Roman" w:hAnsi="Times New Roman"/>
          <w:b w:val="false"/>
          <w:i/>
          <w:color w:val="000000"/>
          <w:sz w:val="24"/>
          <w:u w:val="single"/>
        </w:rPr>
        <w:t> </w:t>
      </w:r>
      <w:r>
        <w:rPr>
          <w:rFonts w:ascii="Times New Roman" w:hAnsi="Times New Roman"/>
          <w:b w:val="false"/>
          <w:i w:val="false"/>
          <w:color w:val="000000"/>
          <w:sz w:val="24"/>
        </w:rPr>
        <w:t>means the application of physical force, use of a chemical agent, or a mechanical device for the purpose of restraining the free movement of an individual’s body to protect the individual or others from immediate harm. Restraint does not include briefly holding without undue force an individual to calm or comfort the individual or holding an individual’s hand to safely escort the individual from one area to another.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“Restricted means of egress”</w:t>
      </w:r>
      <w:r>
        <w:rPr>
          <w:rFonts w:ascii="Times New Roman" w:hAnsi="Times New Roman"/>
          <w:b w:val="false"/>
          <w:i/>
          <w:color w:val="000000"/>
          <w:sz w:val="24"/>
          <w:u w:val="single"/>
        </w:rPr>
        <w:t> </w:t>
      </w:r>
      <w:r>
        <w:rPr>
          <w:rFonts w:ascii="Times New Roman" w:hAnsi="Times New Roman"/>
          <w:b w:val="false"/>
          <w:i w:val="false"/>
          <w:color w:val="000000"/>
          <w:sz w:val="24"/>
        </w:rPr>
        <w:t>means an exit door alarm system for safety of the residents and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“Seclusion”</w:t>
      </w:r>
      <w:r>
        <w:rPr>
          <w:rFonts w:ascii="Times New Roman" w:hAnsi="Times New Roman"/>
          <w:b w:val="false"/>
          <w:i/>
          <w:color w:val="000000"/>
          <w:sz w:val="24"/>
          <w:u w:val="single"/>
        </w:rPr>
        <w:t> </w:t>
      </w:r>
      <w:r>
        <w:rPr>
          <w:rFonts w:ascii="Times New Roman" w:hAnsi="Times New Roman"/>
          <w:b w:val="false"/>
          <w:i w:val="false"/>
          <w:color w:val="000000"/>
          <w:sz w:val="24"/>
        </w:rPr>
        <w:t>means the involuntary confinement of a resident alone in a room or an area from which the resident is physically prevented from leaving.</w:t>
      </w:r>
    </w:p>
    <w:p>
      <w:pPr>
        <w:spacing w:before="0" w:after="0" w:line="480"/>
        <w:ind w:left="120"/>
        <w:jc w:val="both"/>
      </w:pPr>
      <w:r>
        <w:rPr>
          <w:rFonts w:ascii="Times New Roman" w:hAnsi="Times New Roman"/>
          <w:b/>
          <w:i w:val="false"/>
          <w:color w:val="000000"/>
          <w:sz w:val="24"/>
        </w:rPr>
        <w:t>481—71.3</w:t>
      </w:r>
      <w:r>
        <w:rPr>
          <w:rFonts w:ascii="Times New Roman" w:hAnsi="Times New Roman"/>
          <w:b/>
          <w:i w:val="false"/>
          <w:color w:val="000000"/>
          <w:sz w:val="24"/>
        </w:rPr>
        <w:t xml:space="preserve">(135G) </w:t>
      </w:r>
      <w:r>
        <w:rPr>
          <w:rFonts w:ascii="Times New Roman" w:hAnsi="Times New Roman"/>
          <w:b/>
          <w:i w:val="false"/>
          <w:color w:val="000000"/>
          <w:sz w:val="24"/>
        </w:rPr>
        <w:t xml:space="preserve">Application for licensure.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71.3(1)</w:t>
      </w:r>
      <w:r>
        <w:rPr>
          <w:rFonts w:ascii="Times New Roman" w:hAnsi="Times New Roman"/>
          <w:b w:val="false"/>
          <w:i w:val="false"/>
          <w:color w:val="000000"/>
          <w:sz w:val="24"/>
        </w:rPr>
        <w:t> </w:t>
      </w:r>
      <w:r>
        <w:rPr>
          <w:rFonts w:ascii="Times New Roman" w:hAnsi="Times New Roman"/>
          <w:b w:val="false"/>
          <w:i/>
          <w:color w:val="000000"/>
          <w:sz w:val="24"/>
        </w:rPr>
        <w:t xml:space="preserve">Initial application and licensing. </w:t>
      </w:r>
      <w:r>
        <w:rPr>
          <w:rFonts w:ascii="Times New Roman" w:hAnsi="Times New Roman"/>
          <w:b w:val="false"/>
          <w:i w:val="false"/>
          <w:color w:val="000000"/>
          <w:sz w:val="24"/>
        </w:rPr>
        <w:t xml:space="preserve">In order to obtain an initial license for a subacute care facility, the applicant must meet all the requirements of the rules, regulations, and standards contained in Iowa Code chapter </w:t>
      </w:r>
      <w:hyperlink r:id="rId7">
        <w:r>
          <w:rPr>
            <w:rStyle w:val="Hyperlink"/>
            <w:rFonts w:ascii="Times New Roman" w:hAnsi="Times New Roman"/>
            <w:b w:val="false"/>
            <w:i w:val="false"/>
            <w:color w:val="000000"/>
            <w:sz w:val="24"/>
          </w:rPr>
          <w:t>135G</w:t>
        </w:r>
      </w:hyperlink>
      <w:r>
        <w:rPr>
          <w:rFonts w:ascii="Times New Roman" w:hAnsi="Times New Roman"/>
          <w:b w:val="false"/>
          <w:i w:val="false"/>
          <w:color w:val="000000"/>
          <w:sz w:val="24"/>
        </w:rPr>
        <w:t xml:space="preserve"> and in this chapter and apply at least 30 days prior to the proposed licensure date of the subacute care facility on forms provided by the department. The applicant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Submit a résumé of care with a narrative that includes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purpose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description of the target population and limitations on resident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Identification and description of the services the facility will provide, which shall minimally include specific and measurable goals and objectives for each of the services to be made available by the facility and a description of the resources needed to provide each of the services, including staff, physical facilities and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description of the human services system available in the area, including but not limited to social, public health, visiting nurse, vocational training, and employment services, residential living arrangements, and services of private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description of working relationships with human services agencies when applicable, which shall include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description of how the facility will coordinate with human services agencies to facilitate continuity of care and coordination of services to residents;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description of how the facility will coordinate with human services agencies to identify unnecessary duplication of services and plan for development and coordination of needed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Submit a floor plan of each floor of the facility drawn on 8½- × 11-inch paper showing room areas in proportion, room dimensions, room numbers for all rooms, including bathrooms, the designation of the use to which each room will be put, and window and door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Submit a photograph of the front and side elevation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Submit the statutory fee for a subacute care facility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Show evidence of a certificate signed by the department’s fire safety bureau, certifying compliance with fire safety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71.3(2)</w:t>
      </w:r>
      <w:r>
        <w:rPr>
          <w:rFonts w:ascii="Times New Roman" w:hAnsi="Times New Roman"/>
          <w:b w:val="false"/>
          <w:i w:val="false"/>
          <w:color w:val="000000"/>
          <w:sz w:val="24"/>
        </w:rPr>
        <w:t> </w:t>
      </w:r>
      <w:r>
        <w:rPr>
          <w:rFonts w:ascii="Times New Roman" w:hAnsi="Times New Roman"/>
          <w:b w:val="false"/>
          <w:i/>
          <w:color w:val="000000"/>
          <w:sz w:val="24"/>
        </w:rPr>
        <w:t xml:space="preserve">Conversion from an intermediate care facility for persons with mental illness. </w:t>
      </w:r>
      <w:r>
        <w:rPr>
          <w:rFonts w:ascii="Times New Roman" w:hAnsi="Times New Roman"/>
          <w:b w:val="false"/>
          <w:i w:val="false"/>
          <w:color w:val="000000"/>
          <w:sz w:val="24"/>
        </w:rPr>
        <w:t xml:space="preserve">An intermediate care facility for persons with mental illness may be converted to a subacute care facility pursuant to Iowa Code section </w:t>
      </w:r>
      <w:hyperlink r:id="rId8">
        <w:r>
          <w:rPr>
            <w:rStyle w:val="Hyperlink"/>
            <w:rFonts w:ascii="Times New Roman" w:hAnsi="Times New Roman"/>
            <w:b w:val="false"/>
            <w:i w:val="false"/>
            <w:color w:val="000000"/>
            <w:sz w:val="24"/>
          </w:rPr>
          <w:t>135G.4(2)</w:t>
        </w:r>
      </w:hyperlink>
      <w:r>
        <w:rPr>
          <w:rFonts w:ascii="Times New Roman" w:hAnsi="Times New Roman"/>
          <w:b w:val="false"/>
          <w:i w:val="false"/>
          <w:color w:val="000000"/>
          <w:sz w:val="24"/>
        </w:rPr>
        <w:t xml:space="preserve"> if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Provides written notice to the department that the facility has employed a full-time psychiatrist and desires to make the conversion;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Submits an application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71.3(3)</w:t>
      </w:r>
      <w:r>
        <w:rPr>
          <w:rFonts w:ascii="Times New Roman" w:hAnsi="Times New Roman"/>
          <w:b w:val="false"/>
          <w:i w:val="false"/>
          <w:color w:val="000000"/>
          <w:sz w:val="24"/>
        </w:rPr>
        <w:t> </w:t>
      </w:r>
      <w:r>
        <w:rPr>
          <w:rFonts w:ascii="Times New Roman" w:hAnsi="Times New Roman"/>
          <w:b w:val="false"/>
          <w:i/>
          <w:color w:val="000000"/>
          <w:sz w:val="24"/>
        </w:rPr>
        <w:t xml:space="preserve">Renewal application or change of ownership. </w:t>
      </w:r>
      <w:r>
        <w:rPr>
          <w:rFonts w:ascii="Times New Roman" w:hAnsi="Times New Roman"/>
          <w:b w:val="false"/>
          <w:i w:val="false"/>
          <w:color w:val="000000"/>
          <w:sz w:val="24"/>
        </w:rPr>
        <w:t>In order to obtain a renewal or change of the subacute care facility license, the applicant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Submit to the department the completed application form 30 days prior to the annual license renewal or change of ownership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Submit the statutory license fee for a subacute care facility with the application for renewal or change of ownership;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Have an approved, current certificate from the department’s fire safety bureau or its designee, certifying compliance with fire safety rules and regulations;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Submit appropriate changes in the résumé of care to reflect any changes in the resident care program or other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71.3(4)</w:t>
      </w:r>
      <w:r>
        <w:rPr>
          <w:rFonts w:ascii="Times New Roman" w:hAnsi="Times New Roman"/>
          <w:b w:val="false"/>
          <w:i w:val="false"/>
          <w:color w:val="000000"/>
          <w:sz w:val="24"/>
        </w:rPr>
        <w:t> </w:t>
      </w:r>
      <w:r>
        <w:rPr>
          <w:rFonts w:ascii="Times New Roman" w:hAnsi="Times New Roman"/>
          <w:b w:val="false"/>
          <w:i/>
          <w:color w:val="000000"/>
          <w:sz w:val="24"/>
        </w:rPr>
        <w:t xml:space="preserve">Issuance of license. </w:t>
      </w:r>
      <w:r>
        <w:rPr>
          <w:rFonts w:ascii="Times New Roman" w:hAnsi="Times New Roman"/>
          <w:b w:val="false"/>
          <w:i w:val="false"/>
          <w:color w:val="000000"/>
          <w:sz w:val="24"/>
        </w:rPr>
        <w:t>Licenses are issued to the person or governmental unit with responsibility for the operation of the facility and authority to comply with all applicable statutes, rules or regulations. The person or governmental unit must be the owner of the facility or, if the facility is leased, the lessee.</w:t>
      </w:r>
    </w:p>
    <w:p>
      <w:pPr>
        <w:spacing w:before="0" w:after="0" w:line="480"/>
        <w:ind w:left="120"/>
        <w:jc w:val="both"/>
      </w:pPr>
      <w:r>
        <w:rPr>
          <w:rFonts w:ascii="Times New Roman" w:hAnsi="Times New Roman"/>
          <w:b/>
          <w:i w:val="false"/>
          <w:color w:val="000000"/>
          <w:sz w:val="24"/>
        </w:rPr>
        <w:t>481—71.4</w:t>
      </w:r>
      <w:r>
        <w:rPr>
          <w:rFonts w:ascii="Times New Roman" w:hAnsi="Times New Roman"/>
          <w:b/>
          <w:i w:val="false"/>
          <w:color w:val="000000"/>
          <w:sz w:val="24"/>
        </w:rPr>
        <w:t xml:space="preserve">(135G) </w:t>
      </w:r>
      <w:r>
        <w:rPr>
          <w:rFonts w:ascii="Times New Roman" w:hAnsi="Times New Roman"/>
          <w:b/>
          <w:i w:val="false"/>
          <w:color w:val="000000"/>
          <w:sz w:val="24"/>
        </w:rPr>
        <w:t xml:space="preserve">Licenses for distinct parts.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71.4(1)</w:t>
      </w:r>
      <w:r>
        <w:rPr>
          <w:rFonts w:ascii="Times New Roman" w:hAnsi="Times New Roman"/>
          <w:b w:val="false"/>
          <w:i w:val="false"/>
          <w:color w:val="000000"/>
          <w:sz w:val="24"/>
        </w:rPr>
        <w:t> </w:t>
      </w:r>
      <w:r>
        <w:rPr>
          <w:rFonts w:ascii="Times New Roman" w:hAnsi="Times New Roman"/>
          <w:b w:val="false"/>
          <w:i w:val="false"/>
          <w:color w:val="000000"/>
          <w:sz w:val="24"/>
        </w:rPr>
        <w:t>Separate licenses may be issued for distinct parts of a health care facility that are clearly identifiable, include specifically designated rooms within the facility, and provide separate categories of care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71.4(2)</w:t>
      </w:r>
      <w:r>
        <w:rPr>
          <w:rFonts w:ascii="Times New Roman" w:hAnsi="Times New Roman"/>
          <w:b w:val="false"/>
          <w:i w:val="false"/>
          <w:color w:val="000000"/>
          <w:sz w:val="24"/>
        </w:rPr>
        <w:t> </w:t>
      </w:r>
      <w:r>
        <w:rPr>
          <w:rFonts w:ascii="Times New Roman" w:hAnsi="Times New Roman"/>
          <w:b w:val="false"/>
          <w:i w:val="false"/>
          <w:color w:val="000000"/>
          <w:sz w:val="24"/>
        </w:rPr>
        <w:t>The following criteria shall be met for a separate licensing of a distinct part: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distinct part serves only residents who require the category of care and services immediately available to the residents within that part;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distinct part meets all of the standards, rules, and regulations pertaining to the category for which a license is being sought;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distinct part is operationally and financially feasible.</w:t>
      </w:r>
    </w:p>
    <w:p>
      <w:pPr>
        <w:spacing w:before="0" w:after="0" w:line="480"/>
        <w:ind w:left="120"/>
        <w:jc w:val="both"/>
      </w:pPr>
      <w:r>
        <w:rPr>
          <w:rFonts w:ascii="Times New Roman" w:hAnsi="Times New Roman"/>
          <w:b/>
          <w:i w:val="false"/>
          <w:color w:val="000000"/>
          <w:sz w:val="24"/>
        </w:rPr>
        <w:t>481—71.5</w:t>
      </w:r>
      <w:r>
        <w:rPr>
          <w:rFonts w:ascii="Times New Roman" w:hAnsi="Times New Roman"/>
          <w:b/>
          <w:i w:val="false"/>
          <w:color w:val="000000"/>
          <w:sz w:val="24"/>
        </w:rPr>
        <w:t xml:space="preserve">(135G) </w:t>
      </w:r>
      <w:r>
        <w:rPr>
          <w:rFonts w:ascii="Times New Roman" w:hAnsi="Times New Roman"/>
          <w:b/>
          <w:i w:val="false"/>
          <w:color w:val="000000"/>
          <w:sz w:val="24"/>
        </w:rPr>
        <w:t xml:space="preserve">Waivers.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71.5(1)</w:t>
      </w:r>
      <w:r>
        <w:rPr>
          <w:rFonts w:ascii="Times New Roman" w:hAnsi="Times New Roman"/>
          <w:b w:val="false"/>
          <w:i w:val="false"/>
          <w:color w:val="000000"/>
          <w:sz w:val="24"/>
        </w:rPr>
        <w:t> </w:t>
      </w:r>
      <w:r>
        <w:rPr>
          <w:rFonts w:ascii="Times New Roman" w:hAnsi="Times New Roman"/>
          <w:b w:val="false"/>
          <w:i w:val="false"/>
          <w:color w:val="000000"/>
          <w:sz w:val="24"/>
        </w:rPr>
        <w:t xml:space="preserve">Waivers from these rules may be granted by the director of the department if, in addition to the requirements of </w:t>
      </w:r>
      <w:hyperlink r:id="rId9">
        <w:r>
          <w:rPr>
            <w:rStyle w:val="Hyperlink"/>
            <w:rFonts w:ascii="Times New Roman" w:hAnsi="Times New Roman"/>
            <w:b w:val="false"/>
            <w:i w:val="false"/>
            <w:color w:val="000000"/>
            <w:sz w:val="24"/>
          </w:rPr>
          <w:t>7—Chapter 2504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need for a waiver has been established consistent with the résumé of care or the resident’s individual program plan;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There is no danger to the health, safety, welfare, or rights of any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71.5(2)</w:t>
      </w:r>
      <w:r>
        <w:rPr>
          <w:rFonts w:ascii="Times New Roman" w:hAnsi="Times New Roman"/>
          <w:b w:val="false"/>
          <w:i w:val="false"/>
          <w:color w:val="000000"/>
          <w:sz w:val="24"/>
        </w:rPr>
        <w:t> </w:t>
      </w:r>
      <w:r>
        <w:rPr>
          <w:rFonts w:ascii="Times New Roman" w:hAnsi="Times New Roman"/>
          <w:b w:val="false"/>
          <w:i w:val="false"/>
          <w:color w:val="000000"/>
          <w:sz w:val="24"/>
        </w:rPr>
        <w:t>The waiver will apply only to a subacute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71.5(3)</w:t>
      </w:r>
      <w:r>
        <w:rPr>
          <w:rFonts w:ascii="Times New Roman" w:hAnsi="Times New Roman"/>
          <w:b w:val="false"/>
          <w:i w:val="false"/>
          <w:color w:val="000000"/>
          <w:sz w:val="24"/>
        </w:rPr>
        <w:t> </w:t>
      </w:r>
      <w:r>
        <w:rPr>
          <w:rFonts w:ascii="Times New Roman" w:hAnsi="Times New Roman"/>
          <w:b w:val="false"/>
          <w:i w:val="false"/>
          <w:color w:val="000000"/>
          <w:sz w:val="24"/>
        </w:rPr>
        <w:t>Waivers shall be reviewed by the department at the time of each licensure survey to verify whether the facility is still eligible for the waiver.</w:t>
      </w:r>
    </w:p>
    <w:p>
      <w:pPr>
        <w:spacing w:before="0" w:after="0" w:line="480"/>
        <w:ind w:left="120"/>
        <w:jc w:val="both"/>
      </w:pPr>
      <w:r>
        <w:rPr>
          <w:rFonts w:ascii="Times New Roman" w:hAnsi="Times New Roman"/>
          <w:b/>
          <w:i w:val="false"/>
          <w:color w:val="000000"/>
          <w:sz w:val="24"/>
        </w:rPr>
        <w:t>481—71.6</w:t>
      </w:r>
      <w:r>
        <w:rPr>
          <w:rFonts w:ascii="Times New Roman" w:hAnsi="Times New Roman"/>
          <w:b/>
          <w:i w:val="false"/>
          <w:color w:val="000000"/>
          <w:sz w:val="24"/>
        </w:rPr>
        <w:t xml:space="preserve">(135G) </w:t>
      </w:r>
      <w:r>
        <w:rPr>
          <w:rFonts w:ascii="Times New Roman" w:hAnsi="Times New Roman"/>
          <w:b/>
          <w:i w:val="false"/>
          <w:color w:val="000000"/>
          <w:sz w:val="24"/>
        </w:rPr>
        <w:t xml:space="preserve">Provisional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71.6(1)</w:t>
      </w:r>
      <w:r>
        <w:rPr>
          <w:rFonts w:ascii="Times New Roman" w:hAnsi="Times New Roman"/>
          <w:b w:val="false"/>
          <w:i w:val="false"/>
          <w:color w:val="000000"/>
          <w:sz w:val="24"/>
        </w:rPr>
        <w:t> </w:t>
      </w:r>
      <w:r>
        <w:rPr>
          <w:rFonts w:ascii="Times New Roman" w:hAnsi="Times New Roman"/>
          <w:b w:val="false"/>
          <w:i/>
          <w:color w:val="000000"/>
          <w:sz w:val="24"/>
        </w:rPr>
        <w:t xml:space="preserve">Provisional license procedure. </w:t>
      </w:r>
      <w:r>
        <w:rPr>
          <w:rFonts w:ascii="Times New Roman" w:hAnsi="Times New Roman"/>
          <w:b w:val="false"/>
          <w:i w:val="false"/>
          <w:color w:val="000000"/>
          <w:sz w:val="24"/>
        </w:rPr>
        <w:t xml:space="preserve">The department may issue a provisional license to a subacute care facility pursuant to Iowa Code section </w:t>
      </w:r>
      <w:hyperlink r:id="rId10">
        <w:r>
          <w:rPr>
            <w:rStyle w:val="Hyperlink"/>
            <w:rFonts w:ascii="Times New Roman" w:hAnsi="Times New Roman"/>
            <w:b w:val="false"/>
            <w:i w:val="false"/>
            <w:color w:val="000000"/>
            <w:sz w:val="24"/>
          </w:rPr>
          <w:t>135G.8</w:t>
        </w:r>
      </w:hyperlink>
      <w:r>
        <w:rPr>
          <w:rFonts w:ascii="Times New Roman" w:hAnsi="Times New Roman"/>
          <w:b w:val="false"/>
          <w:i w:val="false"/>
          <w:color w:val="000000"/>
          <w:sz w:val="24"/>
        </w:rPr>
        <w:t>. The procedure for issuance of a provisional license is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first issue to the facility a report that identifies the deficiency.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Within ten working days after receipt of the report, the facility shall provide the department with a written plan of correction.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will review the written plan of correction within ten working days of receipt. The department may request additional information or revision to the plan prior to accepting the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After accepting the written plan of correction, the department will issue a provisional license to the facility, which will not exceed one year in duration.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71.6(2)</w:t>
      </w:r>
      <w:r>
        <w:rPr>
          <w:rFonts w:ascii="Times New Roman" w:hAnsi="Times New Roman"/>
          <w:b w:val="false"/>
          <w:i w:val="false"/>
          <w:color w:val="000000"/>
          <w:sz w:val="24"/>
        </w:rPr>
        <w:t> </w:t>
      </w:r>
      <w:r>
        <w:rPr>
          <w:rFonts w:ascii="Times New Roman" w:hAnsi="Times New Roman"/>
          <w:b w:val="false"/>
          <w:i/>
          <w:color w:val="000000"/>
          <w:sz w:val="24"/>
        </w:rPr>
        <w:t xml:space="preserve">Written plan of correction. </w:t>
      </w:r>
      <w:r>
        <w:rPr>
          <w:rFonts w:ascii="Times New Roman" w:hAnsi="Times New Roman"/>
          <w:b w:val="false"/>
          <w:i w:val="false"/>
          <w:color w:val="000000"/>
          <w:sz w:val="24"/>
        </w:rPr>
        <w:t>The written plan of correction shall contain: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How the facility will correct the deficient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How the facility will act to protect residents;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measures the facility will take or the systems it will alter to ensure that the deficient practice does not recur;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date when the plan of correction will be completed, not to exceed 30 days from the date of the department’s report.</w:t>
      </w:r>
    </w:p>
    <w:p>
      <w:pPr>
        <w:spacing w:before="0" w:after="0" w:line="480"/>
        <w:ind w:left="120"/>
        <w:jc w:val="both"/>
      </w:pPr>
      <w:r>
        <w:rPr>
          <w:rFonts w:ascii="Times New Roman" w:hAnsi="Times New Roman"/>
          <w:b/>
          <w:i w:val="false"/>
          <w:color w:val="000000"/>
          <w:sz w:val="24"/>
        </w:rPr>
        <w:t>481—71.7</w:t>
      </w:r>
      <w:r>
        <w:rPr>
          <w:rFonts w:ascii="Times New Roman" w:hAnsi="Times New Roman"/>
          <w:b/>
          <w:i w:val="false"/>
          <w:color w:val="000000"/>
          <w:sz w:val="24"/>
        </w:rPr>
        <w:t xml:space="preserve">(135G) </w:t>
      </w:r>
      <w:r>
        <w:rPr>
          <w:rFonts w:ascii="Times New Roman" w:hAnsi="Times New Roman"/>
          <w:b/>
          <w:i w:val="false"/>
          <w:color w:val="000000"/>
          <w:sz w:val="24"/>
        </w:rPr>
        <w:t xml:space="preserve">License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71.7(1)</w:t>
      </w:r>
      <w:r>
        <w:rPr>
          <w:rFonts w:ascii="Times New Roman" w:hAnsi="Times New Roman"/>
          <w:b w:val="false"/>
          <w:i w:val="false"/>
          <w:color w:val="000000"/>
          <w:sz w:val="24"/>
        </w:rPr>
        <w:t> </w:t>
      </w:r>
      <w:r>
        <w:rPr>
          <w:rFonts w:ascii="Times New Roman" w:hAnsi="Times New Roman"/>
          <w:b w:val="false"/>
          <w:i w:val="false"/>
          <w:color w:val="000000"/>
          <w:sz w:val="24"/>
        </w:rPr>
        <w:t>The license that accurately reflects the current status of the subacute care facility’s license shall be displayed in the facility in a conspicuous place that is viewed by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71.7(2)</w:t>
      </w:r>
      <w:r>
        <w:rPr>
          <w:rFonts w:ascii="Times New Roman" w:hAnsi="Times New Roman"/>
          <w:b w:val="false"/>
          <w:i w:val="false"/>
          <w:color w:val="000000"/>
          <w:sz w:val="24"/>
        </w:rPr>
        <w:t> </w:t>
      </w:r>
      <w:r>
        <w:rPr>
          <w:rFonts w:ascii="Times New Roman" w:hAnsi="Times New Roman"/>
          <w:b w:val="false"/>
          <w:i w:val="false"/>
          <w:color w:val="000000"/>
          <w:sz w:val="24"/>
        </w:rPr>
        <w:t>The license shall be valid only for the premises and person named on the license and is not transferable. The license will expire one year after the date of issuance or as indicated on the license. There cannot be more beds added than are stipulated on the license.</w:t>
      </w:r>
    </w:p>
    <w:p>
      <w:pPr>
        <w:spacing w:before="0" w:after="0" w:line="480"/>
        <w:ind w:left="120"/>
        <w:jc w:val="both"/>
      </w:pPr>
      <w:r>
        <w:rPr>
          <w:rFonts w:ascii="Times New Roman" w:hAnsi="Times New Roman"/>
          <w:b/>
          <w:i w:val="false"/>
          <w:color w:val="000000"/>
          <w:sz w:val="24"/>
        </w:rPr>
        <w:t>481—71.8</w:t>
      </w:r>
      <w:r>
        <w:rPr>
          <w:rFonts w:ascii="Times New Roman" w:hAnsi="Times New Roman"/>
          <w:b/>
          <w:i w:val="false"/>
          <w:color w:val="000000"/>
          <w:sz w:val="24"/>
        </w:rPr>
        <w:t xml:space="preserve">(135G) </w:t>
      </w:r>
      <w:r>
        <w:rPr>
          <w:rFonts w:ascii="Times New Roman" w:hAnsi="Times New Roman"/>
          <w:b/>
          <w:i w:val="false"/>
          <w:color w:val="000000"/>
          <w:sz w:val="24"/>
        </w:rPr>
        <w:t xml:space="preserve">Required notifications to the department.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71.8(1)</w:t>
      </w:r>
      <w:r>
        <w:rPr>
          <w:rFonts w:ascii="Times New Roman" w:hAnsi="Times New Roman"/>
          <w:b w:val="false"/>
          <w:i w:val="false"/>
          <w:color w:val="000000"/>
          <w:sz w:val="24"/>
        </w:rPr>
        <w:t> </w:t>
      </w:r>
      <w:r>
        <w:rPr>
          <w:rFonts w:ascii="Times New Roman" w:hAnsi="Times New Roman"/>
          <w:b w:val="false"/>
          <w:i w:val="false"/>
          <w:color w:val="000000"/>
          <w:sz w:val="24"/>
        </w:rPr>
        <w:t>The department shall be notified: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Thirty days in advance of any proposed change in the subacute care facility’s functional operation or the addition or deletion of required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Thirty days before any addition, alteration, or new construction is begun in the subacute care facility or on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Thirty days in advance of any closure of the subacute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Within two weeks of any change in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Within 30 days of the date on which any change in the category of license is sought;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Within 30 days of any proposed change in the résumé of care for the subacute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71.8(2)</w:t>
      </w:r>
      <w:r>
        <w:rPr>
          <w:rFonts w:ascii="Times New Roman" w:hAnsi="Times New Roman"/>
          <w:b w:val="false"/>
          <w:i w:val="false"/>
          <w:color w:val="000000"/>
          <w:sz w:val="24"/>
        </w:rPr>
        <w:t> </w:t>
      </w:r>
      <w:r>
        <w:rPr>
          <w:rFonts w:ascii="Times New Roman" w:hAnsi="Times New Roman"/>
          <w:b w:val="false"/>
          <w:i w:val="false"/>
          <w:color w:val="000000"/>
          <w:sz w:val="24"/>
        </w:rPr>
        <w:t>Prior to the purchase, transfer, assignment, or lease of a subacute care facility, the licensee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Inform the department of the pending sale, transfer, assignment, or lease of the facility;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Inform the department of the name and address of the prospective purchaser, transferee, assignee, or lessee at least 30 days before the sale, transfer, assignment, or lease is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71.8(3)</w:t>
      </w:r>
      <w:r>
        <w:rPr>
          <w:rFonts w:ascii="Times New Roman" w:hAnsi="Times New Roman"/>
          <w:b w:val="false"/>
          <w:i w:val="false"/>
          <w:color w:val="000000"/>
          <w:sz w:val="24"/>
        </w:rPr>
        <w:t> </w:t>
      </w:r>
      <w:r>
        <w:rPr>
          <w:rFonts w:ascii="Times New Roman" w:hAnsi="Times New Roman"/>
          <w:b w:val="false"/>
          <w:i w:val="false"/>
          <w:color w:val="000000"/>
          <w:sz w:val="24"/>
        </w:rPr>
        <w:t>Within 24 hours, or the next business day, by the most expeditious means available, the department shall be notified: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Of any accident causing major injury. “Major injury” is any injury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Results in death;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Requires admission to a higher level of care for treatment, other than for observation;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Requires consultation with the attending physician, designee of the physician, physician associate, or advanced registered nurse practitioner who determines, in writing, on a form designated by the department, that an injury is a “major injury” based upon the circumstances of the accident, the previous functional ability of the resident, and the resident’s prognosis;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 resident attempts suicide, regardless of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damage to the facility is caused by a natural or other disaster;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When a fire occurs in a facility and the fire requires the notification of emergency services, requires full or partial evacuation of the facility, or causes physical injury to a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When a defect or failure occurs in the fire sprinkler system for more than 10 hours or fire alarm system for more than 4 hours in a 24-hour period.</w:t>
      </w:r>
    </w:p>
    <w:p>
      <w:pPr>
        <w:spacing w:before="210" w:after="0" w:line="480"/>
        <w:ind w:left="120"/>
        <w:jc w:val="both"/>
      </w:pPr>
      <w:r>
        <w:rPr>
          <w:rFonts w:ascii="Times New Roman" w:hAnsi="Times New Roman"/>
          <w:b/>
          <w:i w:val="false"/>
          <w:color w:val="000000"/>
          <w:sz w:val="24"/>
        </w:rPr>
        <w:t>481—71.9</w:t>
      </w:r>
      <w:r>
        <w:rPr>
          <w:rFonts w:ascii="Times New Roman" w:hAnsi="Times New Roman"/>
          <w:b/>
          <w:i w:val="false"/>
          <w:color w:val="000000"/>
          <w:sz w:val="24"/>
        </w:rPr>
        <w:t xml:space="preserve">(135G) </w:t>
      </w:r>
      <w:r>
        <w:rPr>
          <w:rFonts w:ascii="Times New Roman" w:hAnsi="Times New Roman"/>
          <w:b/>
          <w:i w:val="false"/>
          <w:color w:val="000000"/>
          <w:sz w:val="24"/>
        </w:rPr>
        <w:t xml:space="preserve">Reports of dependent adult abuse. </w:t>
      </w:r>
      <w:r>
        <w:rPr>
          <w:rFonts w:ascii="Times New Roman" w:hAnsi="Times New Roman"/>
          <w:b w:val="false"/>
          <w:i w:val="false"/>
          <w:color w:val="000000"/>
          <w:sz w:val="24"/>
        </w:rPr>
        <w:t>Reports of suspected dependent adult abuse shall be made to the department of health and human services.</w:t>
      </w:r>
    </w:p>
    <w:p>
      <w:pPr>
        <w:spacing w:before="0" w:after="0" w:line="480"/>
        <w:ind w:left="120"/>
        <w:jc w:val="both"/>
      </w:pPr>
      <w:r>
        <w:rPr>
          <w:rFonts w:ascii="Times New Roman" w:hAnsi="Times New Roman"/>
          <w:b/>
          <w:i w:val="false"/>
          <w:color w:val="000000"/>
          <w:sz w:val="24"/>
        </w:rPr>
        <w:t>481—71.10</w:t>
      </w:r>
      <w:r>
        <w:rPr>
          <w:rFonts w:ascii="Times New Roman" w:hAnsi="Times New Roman"/>
          <w:b/>
          <w:i w:val="false"/>
          <w:color w:val="000000"/>
          <w:sz w:val="24"/>
        </w:rPr>
        <w:t xml:space="preserve">(135G) </w:t>
      </w:r>
      <w:r>
        <w:rPr>
          <w:rFonts w:ascii="Times New Roman" w:hAnsi="Times New Roman"/>
          <w:b/>
          <w:i w:val="false"/>
          <w:color w:val="000000"/>
          <w:sz w:val="24"/>
        </w:rPr>
        <w:t xml:space="preserve">Administrator.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71.10(1)</w:t>
      </w:r>
      <w:r>
        <w:rPr>
          <w:rFonts w:ascii="Times New Roman" w:hAnsi="Times New Roman"/>
          <w:b w:val="false"/>
          <w:i w:val="false"/>
          <w:color w:val="000000"/>
          <w:sz w:val="24"/>
        </w:rPr>
        <w:t> </w:t>
      </w:r>
      <w:r>
        <w:rPr>
          <w:rFonts w:ascii="Times New Roman" w:hAnsi="Times New Roman"/>
          <w:b w:val="false"/>
          <w:i/>
          <w:color w:val="000000"/>
          <w:sz w:val="24"/>
        </w:rPr>
        <w:t xml:space="preserve">Administrator required. </w:t>
      </w:r>
      <w:r>
        <w:rPr>
          <w:rFonts w:ascii="Times New Roman" w:hAnsi="Times New Roman"/>
          <w:b w:val="false"/>
          <w:i w:val="false"/>
          <w:color w:val="000000"/>
          <w:sz w:val="24"/>
        </w:rPr>
        <w:t>Each subacute care facility shall have one person in charge who is duly approved by the department or acting in a provisional capacity in accordance with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71.10(2)</w:t>
      </w:r>
      <w:r>
        <w:rPr>
          <w:rFonts w:ascii="Times New Roman" w:hAnsi="Times New Roman"/>
          <w:b w:val="false"/>
          <w:i w:val="false"/>
          <w:color w:val="000000"/>
          <w:sz w:val="24"/>
        </w:rPr>
        <w:t> </w:t>
      </w:r>
      <w:r>
        <w:rPr>
          <w:rFonts w:ascii="Times New Roman" w:hAnsi="Times New Roman"/>
          <w:b w:val="false"/>
          <w:i/>
          <w:color w:val="000000"/>
          <w:sz w:val="24"/>
        </w:rPr>
        <w:t xml:space="preserve">Qualifications of an administrator. </w:t>
      </w:r>
      <w:r>
        <w:rPr>
          <w:rFonts w:ascii="Times New Roman" w:hAnsi="Times New Roman"/>
          <w:b w:val="false"/>
          <w:i w:val="false"/>
          <w:color w:val="000000"/>
          <w:sz w:val="24"/>
        </w:rPr>
        <w:t>The administrator shall be at least 21 years of age, have a high school diploma or equivalent, and meet at least one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Be a mental health professional, as defined in Iowa Code section </w:t>
      </w:r>
      <w:hyperlink r:id="rId11">
        <w:r>
          <w:rPr>
            <w:rStyle w:val="Hyperlink"/>
            <w:rFonts w:ascii="Times New Roman" w:hAnsi="Times New Roman"/>
            <w:b w:val="false"/>
            <w:i w:val="false"/>
            <w:color w:val="000000"/>
            <w:sz w:val="24"/>
          </w:rPr>
          <w:t>228.1(7)</w:t>
        </w:r>
      </w:hyperlink>
      <w:r>
        <w:rPr>
          <w:rFonts w:ascii="Times New Roman" w:hAnsi="Times New Roman"/>
          <w:b w:val="false"/>
          <w:i w:val="false"/>
          <w:color w:val="000000"/>
          <w:sz w:val="24"/>
        </w:rPr>
        <w:t>, with at least one year of experience in an administrative capacity;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a four-year degree in human services, psychology, sociology, nursing, health care administration, public administration, or a related field and have a minimum of one year of experience in the field;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Have a master’s degree in human services, psychology, sociology, nursing, health care administration, public administration, or a related field;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Be a licensed nursing home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71.10(3)</w:t>
      </w:r>
      <w:r>
        <w:rPr>
          <w:rFonts w:ascii="Times New Roman" w:hAnsi="Times New Roman"/>
          <w:b w:val="false"/>
          <w:i w:val="false"/>
          <w:color w:val="000000"/>
          <w:sz w:val="24"/>
        </w:rPr>
        <w:t> </w:t>
      </w:r>
      <w:r>
        <w:rPr>
          <w:rFonts w:ascii="Times New Roman" w:hAnsi="Times New Roman"/>
          <w:b w:val="false"/>
          <w:i/>
          <w:color w:val="000000"/>
          <w:sz w:val="24"/>
        </w:rPr>
        <w:t xml:space="preserve">Administrator—distinct part. </w:t>
      </w:r>
      <w:r>
        <w:rPr>
          <w:rFonts w:ascii="Times New Roman" w:hAnsi="Times New Roman"/>
          <w:b w:val="false"/>
          <w:i w:val="false"/>
          <w:color w:val="000000"/>
          <w:sz w:val="24"/>
        </w:rPr>
        <w:t>If a subacute care facility is a distinct part of a licensed health care facility, the administrator of the facility as a whole may serve as the administrator of the subacute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71.10(4)</w:t>
      </w:r>
      <w:r>
        <w:rPr>
          <w:rFonts w:ascii="Times New Roman" w:hAnsi="Times New Roman"/>
          <w:b w:val="false"/>
          <w:i w:val="false"/>
          <w:color w:val="000000"/>
          <w:sz w:val="24"/>
        </w:rPr>
        <w:t> </w:t>
      </w:r>
      <w:r>
        <w:rPr>
          <w:rFonts w:ascii="Times New Roman" w:hAnsi="Times New Roman"/>
          <w:b w:val="false"/>
          <w:i/>
          <w:color w:val="000000"/>
          <w:sz w:val="24"/>
        </w:rPr>
        <w:t xml:space="preserve">Provisional administrator. </w:t>
      </w:r>
      <w:r>
        <w:rPr>
          <w:rFonts w:ascii="Times New Roman" w:hAnsi="Times New Roman"/>
          <w:b w:val="false"/>
          <w:i w:val="false"/>
          <w:color w:val="000000"/>
          <w:sz w:val="24"/>
        </w:rPr>
        <w:t xml:space="preserve">A provisional administrator may be appointed on a temporary basis by the subacute care facility licensee to assume the administrative responsibilities of the facility for a period not to exceed 12 months when the facility has, through no fault of its own, lost its administrator and has not been able to replace the administrator, provided the department has been notified and has approved the provisional administrator prior to the date of the administrator’s appointment. The provisional administrator must meet the requirements of subrule </w:t>
      </w:r>
      <w:hyperlink r:id="rId12">
        <w:r>
          <w:rPr>
            <w:rStyle w:val="Hyperlink"/>
            <w:rFonts w:ascii="Times New Roman" w:hAnsi="Times New Roman"/>
            <w:b w:val="false"/>
            <w:i w:val="false"/>
            <w:color w:val="000000"/>
            <w:sz w:val="24"/>
          </w:rPr>
          <w:t>71.10(2)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71.10(5)</w:t>
      </w:r>
      <w:r>
        <w:rPr>
          <w:rFonts w:ascii="Times New Roman" w:hAnsi="Times New Roman"/>
          <w:b w:val="false"/>
          <w:i w:val="false"/>
          <w:color w:val="000000"/>
          <w:sz w:val="24"/>
        </w:rPr>
        <w:t> </w:t>
      </w:r>
      <w:r>
        <w:rPr>
          <w:rFonts w:ascii="Times New Roman" w:hAnsi="Times New Roman"/>
          <w:b w:val="false"/>
          <w:i/>
          <w:color w:val="000000"/>
          <w:sz w:val="24"/>
        </w:rPr>
        <w:t xml:space="preserve">Administrator—initial licensing of facility. </w:t>
      </w:r>
      <w:r>
        <w:rPr>
          <w:rFonts w:ascii="Times New Roman" w:hAnsi="Times New Roman"/>
          <w:b w:val="false"/>
          <w:i w:val="false"/>
          <w:color w:val="000000"/>
          <w:sz w:val="24"/>
        </w:rPr>
        <w:t>A facility applying for an initial license cannot have a provisional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71.10(6)</w:t>
      </w:r>
      <w:r>
        <w:rPr>
          <w:rFonts w:ascii="Times New Roman" w:hAnsi="Times New Roman"/>
          <w:b w:val="false"/>
          <w:i w:val="false"/>
          <w:color w:val="000000"/>
          <w:sz w:val="24"/>
        </w:rPr>
        <w:t> </w:t>
      </w:r>
      <w:r>
        <w:rPr>
          <w:rFonts w:ascii="Times New Roman" w:hAnsi="Times New Roman"/>
          <w:b w:val="false"/>
          <w:i/>
          <w:color w:val="000000"/>
          <w:sz w:val="24"/>
        </w:rPr>
        <w:t xml:space="preserve">Duties of administrator. </w:t>
      </w:r>
      <w:r>
        <w:rPr>
          <w:rFonts w:ascii="Times New Roman" w:hAnsi="Times New Roman"/>
          <w:b w:val="false"/>
          <w:i w:val="false"/>
          <w:color w:val="000000"/>
          <w:sz w:val="24"/>
        </w:rPr>
        <w:t>An administrator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responsible for the implementation of procedures to support the policies established by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Select and direct competent personnel who provide services for the subacute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Make a policies and procedures manual available to all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Be responsible for a monthly in-service educational program for all employees and maintain records of programs and participants;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Make staff payroll records available for departmental review as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Furnish to the department within 30 days of the department’s request statistical information concerning the operation of the facility.</w:t>
      </w:r>
    </w:p>
    <w:p>
      <w:pPr>
        <w:spacing w:before="0" w:after="0" w:line="480"/>
        <w:ind w:left="120"/>
        <w:jc w:val="both"/>
      </w:pPr>
      <w:r>
        <w:rPr>
          <w:rFonts w:ascii="Times New Roman" w:hAnsi="Times New Roman"/>
          <w:b/>
          <w:i w:val="false"/>
          <w:color w:val="000000"/>
          <w:sz w:val="24"/>
        </w:rPr>
        <w:t>481—71.11</w:t>
      </w:r>
      <w:r>
        <w:rPr>
          <w:rFonts w:ascii="Times New Roman" w:hAnsi="Times New Roman"/>
          <w:b/>
          <w:i w:val="false"/>
          <w:color w:val="000000"/>
          <w:sz w:val="24"/>
        </w:rPr>
        <w:t xml:space="preserve">(135G) </w:t>
      </w:r>
      <w:r>
        <w:rPr>
          <w:rFonts w:ascii="Times New Roman" w:hAnsi="Times New Roman"/>
          <w:b/>
          <w:i w:val="false"/>
          <w:color w:val="000000"/>
          <w:sz w:val="24"/>
        </w:rPr>
        <w:t xml:space="preserve">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71.11(1)</w:t>
      </w:r>
      <w:r>
        <w:rPr>
          <w:rFonts w:ascii="Times New Roman" w:hAnsi="Times New Roman"/>
          <w:b w:val="false"/>
          <w:i w:val="false"/>
          <w:color w:val="000000"/>
          <w:sz w:val="24"/>
        </w:rPr>
        <w:t> </w:t>
      </w:r>
      <w:r>
        <w:rPr>
          <w:rFonts w:ascii="Times New Roman" w:hAnsi="Times New Roman"/>
          <w:b w:val="false"/>
          <w:i w:val="false"/>
          <w:color w:val="000000"/>
          <w:sz w:val="24"/>
        </w:rPr>
        <w:t>The licensee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Assume the responsibility for the overall operation of the subacute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responsible for compliance with all applicable laws and with the rules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Establish written policies, which shall be available for review, for the operation of the subacute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71.11(2)</w:t>
      </w:r>
      <w:r>
        <w:rPr>
          <w:rFonts w:ascii="Times New Roman" w:hAnsi="Times New Roman"/>
          <w:b w:val="false"/>
          <w:i w:val="false"/>
          <w:color w:val="000000"/>
          <w:sz w:val="24"/>
        </w:rPr>
        <w:t> </w:t>
      </w:r>
      <w:r>
        <w:rPr>
          <w:rFonts w:ascii="Times New Roman" w:hAnsi="Times New Roman"/>
          <w:b w:val="false"/>
          <w:i w:val="false"/>
          <w:color w:val="000000"/>
          <w:sz w:val="24"/>
        </w:rPr>
        <w:t>The policy and procedures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Admission;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Evaluation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Treatment and discharge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Crisis intervention, including restraint and seclusion;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Involuntary discharge or transfer;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Medication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Resident rights.</w:t>
      </w:r>
    </w:p>
    <w:p>
      <w:pPr>
        <w:spacing w:before="0" w:after="0" w:line="480"/>
        <w:ind w:left="120"/>
        <w:jc w:val="both"/>
      </w:pPr>
      <w:r>
        <w:rPr>
          <w:rFonts w:ascii="Times New Roman" w:hAnsi="Times New Roman"/>
          <w:b/>
          <w:i w:val="false"/>
          <w:color w:val="000000"/>
          <w:sz w:val="24"/>
        </w:rPr>
        <w:t>481—71.12</w:t>
      </w:r>
      <w:r>
        <w:rPr>
          <w:rFonts w:ascii="Times New Roman" w:hAnsi="Times New Roman"/>
          <w:b/>
          <w:i w:val="false"/>
          <w:color w:val="000000"/>
          <w:sz w:val="24"/>
        </w:rPr>
        <w:t xml:space="preserve">(135G) </w:t>
      </w:r>
      <w:r>
        <w:rPr>
          <w:rFonts w:ascii="Times New Roman" w:hAnsi="Times New Roman"/>
          <w:b/>
          <w:i w:val="false"/>
          <w:color w:val="000000"/>
          <w:sz w:val="24"/>
        </w:rPr>
        <w:t xml:space="preserve">Personnel.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71.12(1)</w:t>
      </w:r>
      <w:r>
        <w:rPr>
          <w:rFonts w:ascii="Times New Roman" w:hAnsi="Times New Roman"/>
          <w:b w:val="false"/>
          <w:i w:val="false"/>
          <w:color w:val="000000"/>
          <w:sz w:val="24"/>
        </w:rPr>
        <w:t> </w:t>
      </w:r>
      <w:r>
        <w:rPr>
          <w:rFonts w:ascii="Times New Roman" w:hAnsi="Times New Roman"/>
          <w:b w:val="false"/>
          <w:i w:val="false"/>
          <w:color w:val="000000"/>
          <w:sz w:val="24"/>
        </w:rPr>
        <w:t>Availability of personnel must be sufficient to meet psychiatric and medical treatment needs of the residents served. Personnel criminal history, child abuse and dependent adult abuse record checks shall be conducted prior to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71.12(2)</w:t>
      </w:r>
      <w:r>
        <w:rPr>
          <w:rFonts w:ascii="Times New Roman" w:hAnsi="Times New Roman"/>
          <w:b w:val="false"/>
          <w:i w:val="false"/>
          <w:color w:val="000000"/>
          <w:sz w:val="24"/>
        </w:rPr>
        <w:t> </w:t>
      </w:r>
      <w:r>
        <w:rPr>
          <w:rFonts w:ascii="Times New Roman" w:hAnsi="Times New Roman"/>
          <w:b w:val="false"/>
          <w:i w:val="false"/>
          <w:color w:val="000000"/>
          <w:sz w:val="24"/>
        </w:rPr>
        <w:t>Staffing shall include at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Twenty-four-hour-per-day, seven-day-per-week availability of on-call psychiatrist or advanced registered nurse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Twenty-four-hour-per-day, seven-day-per-week availability of on-call registered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mental health professional as defined in Iowa Code section </w:t>
      </w:r>
      <w:hyperlink r:id="rId13">
        <w:r>
          <w:rPr>
            <w:rStyle w:val="Hyperlink"/>
            <w:rFonts w:ascii="Times New Roman" w:hAnsi="Times New Roman"/>
            <w:b w:val="false"/>
            <w:i w:val="false"/>
            <w:color w:val="000000"/>
            <w:sz w:val="24"/>
          </w:rPr>
          <w:t>228.1(7)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Direct care staff;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Social service staff at the bachelor level or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equivalent of four years of full-time technical work experience involving direct contact with people in overcoming their social, economic, psychological, or health problems;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equivalent combination of education and experience substituting the equivalent of one year of full-time qualifying work experience for one year (30 semester or equivalent hours) of the required education to a maximum substitution of four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71.12(3)</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71.12(4)</w:t>
      </w:r>
      <w:r>
        <w:rPr>
          <w:rFonts w:ascii="Times New Roman" w:hAnsi="Times New Roman"/>
          <w:b w:val="false"/>
          <w:i w:val="false"/>
          <w:color w:val="000000"/>
          <w:sz w:val="24"/>
        </w:rPr>
        <w:t> </w:t>
      </w:r>
      <w:r>
        <w:rPr>
          <w:rFonts w:ascii="Times New Roman" w:hAnsi="Times New Roman"/>
          <w:b w:val="false"/>
          <w:i w:val="false"/>
          <w:color w:val="000000"/>
          <w:sz w:val="24"/>
        </w:rPr>
        <w:t xml:space="preserve">The facility shall require regular health examinations for all personnel. Employees shall have a health examination within 12 months prior to beginning employment and regular examinations thereafter at least every four years. The examination shall include, at a minimum, the health status of the employee, including screening and testing for tuberculosis as described in </w:t>
      </w:r>
      <w:hyperlink r:id="rId14">
        <w:r>
          <w:rPr>
            <w:rStyle w:val="Hyperlink"/>
            <w:rFonts w:ascii="Times New Roman" w:hAnsi="Times New Roman"/>
            <w:b w:val="false"/>
            <w:i w:val="false"/>
            <w:color w:val="000000"/>
            <w:sz w:val="24"/>
          </w:rPr>
          <w:t>481—Chapter 59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person shall be allowed to provide services in a facility if the person has a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That is transmissible through required workplace contact;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That presents a significant risk of infecting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That presents a substantial possibility of harming others;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For which no reasonable accommodation can eliminate the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There shall be written policies for emergency medical care for employees in case of sudden illness or accident, including the administrative individuals to be contacted.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Health certificates for all employees shall be available for review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71.12(5)</w:t>
      </w:r>
      <w:r>
        <w:rPr>
          <w:rFonts w:ascii="Times New Roman" w:hAnsi="Times New Roman"/>
          <w:b w:val="false"/>
          <w:i w:val="false"/>
          <w:color w:val="000000"/>
          <w:sz w:val="24"/>
        </w:rPr>
        <w:t> </w:t>
      </w:r>
      <w:r>
        <w:rPr>
          <w:rFonts w:ascii="Times New Roman" w:hAnsi="Times New Roman"/>
          <w:b w:val="false"/>
          <w:i w:val="false"/>
          <w:color w:val="000000"/>
          <w:sz w:val="24"/>
        </w:rPr>
        <w:t>A personnel record shall be kept for each employee.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71.12(6)</w:t>
      </w:r>
      <w:r>
        <w:rPr>
          <w:rFonts w:ascii="Times New Roman" w:hAnsi="Times New Roman"/>
          <w:b w:val="false"/>
          <w:i w:val="false"/>
          <w:color w:val="000000"/>
          <w:sz w:val="24"/>
        </w:rPr>
        <w:t> </w:t>
      </w:r>
      <w:r>
        <w:rPr>
          <w:rFonts w:ascii="Times New Roman" w:hAnsi="Times New Roman"/>
          <w:b w:val="false"/>
          <w:i w:val="false"/>
          <w:color w:val="000000"/>
          <w:sz w:val="24"/>
        </w:rPr>
        <w:t>Orders for medications and treatments shall be correctly implemented by qualified personnel.</w:t>
      </w:r>
    </w:p>
    <w:p>
      <w:pPr>
        <w:spacing w:before="0" w:after="0" w:line="480"/>
        <w:ind w:left="120"/>
        <w:jc w:val="both"/>
      </w:pPr>
      <w:r>
        <w:rPr>
          <w:rFonts w:ascii="Times New Roman" w:hAnsi="Times New Roman"/>
          <w:b/>
          <w:i w:val="false"/>
          <w:color w:val="000000"/>
          <w:sz w:val="24"/>
        </w:rPr>
        <w:t>481—71.13</w:t>
      </w:r>
      <w:r>
        <w:rPr>
          <w:rFonts w:ascii="Times New Roman" w:hAnsi="Times New Roman"/>
          <w:b/>
          <w:i w:val="false"/>
          <w:color w:val="000000"/>
          <w:sz w:val="24"/>
        </w:rPr>
        <w:t xml:space="preserve">(135G) </w:t>
      </w:r>
      <w:r>
        <w:rPr>
          <w:rFonts w:ascii="Times New Roman" w:hAnsi="Times New Roman"/>
          <w:b/>
          <w:i w:val="false"/>
          <w:color w:val="000000"/>
          <w:sz w:val="24"/>
        </w:rPr>
        <w:t xml:space="preserve">Admission, transfer, and discharge.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71.13(1)</w:t>
      </w:r>
      <w:r>
        <w:rPr>
          <w:rFonts w:ascii="Times New Roman" w:hAnsi="Times New Roman"/>
          <w:b w:val="false"/>
          <w:i w:val="false"/>
          <w:color w:val="000000"/>
          <w:sz w:val="24"/>
        </w:rPr>
        <w:t> </w:t>
      </w:r>
      <w:r>
        <w:rPr>
          <w:rFonts w:ascii="Times New Roman" w:hAnsi="Times New Roman"/>
          <w:b w:val="false"/>
          <w:i/>
          <w:color w:val="000000"/>
          <w:sz w:val="24"/>
        </w:rPr>
        <w:t xml:space="preserve">General admission policies.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subacute care facility shall not admit or retain a resident who is in need of greater services than the facility can provide.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Prior to admission of an applicant, the facility shall obtain sufficient information to determine if its program is appropriate and adequate to meet the individual’s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subacute care facility may only admit as many residents as indicated by the number of beds for which the facility is licensed.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subacute care facility shall adopt policies regarding the admission requirements outlined in subrule </w:t>
      </w:r>
      <w:hyperlink r:id="rId15">
        <w:r>
          <w:rPr>
            <w:rStyle w:val="Hyperlink"/>
            <w:rFonts w:ascii="Times New Roman" w:hAnsi="Times New Roman"/>
            <w:b w:val="false"/>
            <w:i w:val="false"/>
            <w:color w:val="000000"/>
            <w:sz w:val="24"/>
          </w:rPr>
          <w:t>71.13(2)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71.13(2)</w:t>
      </w:r>
      <w:r>
        <w:rPr>
          <w:rFonts w:ascii="Times New Roman" w:hAnsi="Times New Roman"/>
          <w:b w:val="false"/>
          <w:i w:val="false"/>
          <w:color w:val="000000"/>
          <w:sz w:val="24"/>
        </w:rPr>
        <w:t> </w:t>
      </w:r>
      <w:r>
        <w:rPr>
          <w:rFonts w:ascii="Times New Roman" w:hAnsi="Times New Roman"/>
          <w:b w:val="false"/>
          <w:i/>
          <w:color w:val="000000"/>
          <w:sz w:val="24"/>
        </w:rPr>
        <w:t xml:space="preserve">Admission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Eligibility for individualized subacute mental health services will be determined by the standardized preadmission screening utilized by the facility. The screening shall be conducted by a mental health professional as defined in Iowa Code section </w:t>
      </w:r>
      <w:hyperlink r:id="rId16">
        <w:r>
          <w:rPr>
            <w:rStyle w:val="Hyperlink"/>
            <w:rFonts w:ascii="Times New Roman" w:hAnsi="Times New Roman"/>
            <w:b w:val="false"/>
            <w:i w:val="false"/>
            <w:color w:val="000000"/>
            <w:sz w:val="24"/>
          </w:rPr>
          <w:t>228.1(7)</w:t>
        </w:r>
      </w:hyperlink>
      <w:r>
        <w:rPr>
          <w:rFonts w:ascii="Times New Roman" w:hAnsi="Times New Roman"/>
          <w:b w:val="false"/>
          <w:i w:val="false"/>
          <w:color w:val="000000"/>
          <w:sz w:val="24"/>
        </w:rPr>
        <w:t>, a physician, a physician associate, or an advanced registered nurse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order to be admitted, the individual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18 years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During the past year, have had a diagnosable mental, behavioral or emotional disorder that meets the diagnostic criteria specified in the most current edition of the Diagnostic and Statistical Manual of Mental Disorders (DSM);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Demonstrate a high degree of impairment through significantly impaired mental, social, or educational functioning arising from the psychiatric condition or serious emotional disturbance;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Demonstrate an impairment that severely limits the skills necessary to maintain an adequate level of functioning outside a treatment program and requires active treatment to obtain an adequate level of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Demonstrate a low level of stability through any two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individual presents moderate to high risk of danger to self or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individual lacks adequate skills or social support to address mental health symptoms.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individual is medically stable but requires observation and care for stabilization of a mental health condition or impairment.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71.13(3)</w:t>
      </w:r>
      <w:r>
        <w:rPr>
          <w:rFonts w:ascii="Times New Roman" w:hAnsi="Times New Roman"/>
          <w:b w:val="false"/>
          <w:i w:val="false"/>
          <w:color w:val="000000"/>
          <w:sz w:val="24"/>
        </w:rPr>
        <w:t> </w:t>
      </w:r>
      <w:r>
        <w:rPr>
          <w:rFonts w:ascii="Times New Roman" w:hAnsi="Times New Roman"/>
          <w:b w:val="false"/>
          <w:i/>
          <w:color w:val="000000"/>
          <w:sz w:val="24"/>
        </w:rPr>
        <w:t xml:space="preserve">Admission agreement. </w:t>
      </w:r>
      <w:r>
        <w:rPr>
          <w:rFonts w:ascii="Times New Roman" w:hAnsi="Times New Roman"/>
          <w:b w:val="false"/>
          <w:i w:val="false"/>
          <w:color w:val="000000"/>
          <w:sz w:val="24"/>
        </w:rPr>
        <w:t>A subacute care facility shall provide an admission agreement to each resident upon admission to the facility, which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Method of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Schedule of services and any additional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facility’s policies regarding length of stay, discharge and transfer.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71.13(4)</w:t>
      </w:r>
      <w:r>
        <w:rPr>
          <w:rFonts w:ascii="Times New Roman" w:hAnsi="Times New Roman"/>
          <w:b w:val="false"/>
          <w:i w:val="false"/>
          <w:color w:val="000000"/>
          <w:sz w:val="24"/>
        </w:rPr>
        <w:t> </w:t>
      </w:r>
      <w:r>
        <w:rPr>
          <w:rFonts w:ascii="Times New Roman" w:hAnsi="Times New Roman"/>
          <w:b w:val="false"/>
          <w:i/>
          <w:color w:val="000000"/>
          <w:sz w:val="24"/>
        </w:rPr>
        <w:t xml:space="preserve">Exclusion criteria.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subacute care facility shall not admit an individual into the facility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individual manifests behavioral or psychiatric symptoms that require acute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individual can be safely maintained and effectively treated with less intensive services in a community setting;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symptoms of the individual do not meet admission criteria in subrule </w:t>
      </w:r>
      <w:hyperlink r:id="rId17">
        <w:r>
          <w:rPr>
            <w:rStyle w:val="Hyperlink"/>
            <w:rFonts w:ascii="Times New Roman" w:hAnsi="Times New Roman"/>
            <w:b w:val="false"/>
            <w:i w:val="false"/>
            <w:color w:val="000000"/>
            <w:sz w:val="24"/>
          </w:rPr>
          <w:t>71.13(2)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individual’s lack of adequate place of residence, placement, or housing is not reason to receive subacute mental health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71.13(5)</w:t>
      </w:r>
      <w:r>
        <w:rPr>
          <w:rFonts w:ascii="Times New Roman" w:hAnsi="Times New Roman"/>
          <w:b w:val="false"/>
          <w:i w:val="false"/>
          <w:color w:val="000000"/>
          <w:sz w:val="24"/>
        </w:rPr>
        <w:t> </w:t>
      </w:r>
      <w:r>
        <w:rPr>
          <w:rFonts w:ascii="Times New Roman" w:hAnsi="Times New Roman"/>
          <w:b w:val="false"/>
          <w:i/>
          <w:color w:val="000000"/>
          <w:sz w:val="24"/>
        </w:rPr>
        <w:t xml:space="preserve">Continued stay criteria policies. </w:t>
      </w:r>
      <w:r>
        <w:rPr>
          <w:rFonts w:ascii="Times New Roman" w:hAnsi="Times New Roman"/>
          <w:b w:val="false"/>
          <w:i w:val="false"/>
          <w:color w:val="000000"/>
          <w:sz w:val="24"/>
        </w:rPr>
        <w:t>Following admission and thereafter according to resident needs as indicated by professional judgment, standard of care, the resident’s treatment plan, or any combination thereof, the mental health professional shall conduct and document an assessment of the resident and determine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severity of the behavioral and emotional symptoms continues to require the subacute level of intervention and the DSM diagnosis remains the principal diagnosis.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prescribed interventions remain consistent with the intended treatment plan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There is documented evidence of active, individualized discharge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There is a reasonable likelihood of substantial benefit in the resident’s mental health condition as a result of active intervention of the 24-hour supervised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Symptoms and behaviors that required admission are continuing.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less intensive level of care would be insufficient to stabilize the resident’s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New issues that meet the admission guidelines in subrule </w:t>
      </w:r>
      <w:hyperlink r:id="rId18">
        <w:r>
          <w:rPr>
            <w:rStyle w:val="Hyperlink"/>
            <w:rFonts w:ascii="Times New Roman" w:hAnsi="Times New Roman"/>
            <w:b w:val="false"/>
            <w:i w:val="false"/>
            <w:color w:val="000000"/>
            <w:sz w:val="24"/>
          </w:rPr>
          <w:t>71.13(2)</w:t>
        </w:r>
      </w:hyperlink>
      <w:r>
        <w:rPr>
          <w:rFonts w:ascii="Times New Roman" w:hAnsi="Times New Roman"/>
          <w:b w:val="false"/>
          <w:i w:val="false"/>
          <w:color w:val="000000"/>
          <w:sz w:val="24"/>
        </w:rPr>
        <w:t xml:space="preserve"> have appeared.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resident requires further stabilization subsequent to acute care to treat active mental health symptoms such as psychosis, depression or mood disorder.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71.13(6)</w:t>
      </w:r>
      <w:r>
        <w:rPr>
          <w:rFonts w:ascii="Times New Roman" w:hAnsi="Times New Roman"/>
          <w:b w:val="false"/>
          <w:i w:val="false"/>
          <w:color w:val="000000"/>
          <w:sz w:val="24"/>
        </w:rPr>
        <w:t> </w:t>
      </w:r>
      <w:r>
        <w:rPr>
          <w:rFonts w:ascii="Times New Roman" w:hAnsi="Times New Roman"/>
          <w:b w:val="false"/>
          <w:i/>
          <w:color w:val="000000"/>
          <w:sz w:val="24"/>
        </w:rPr>
        <w:t xml:space="preserve">Discharge criteria policies. </w:t>
      </w:r>
      <w:r>
        <w:rPr>
          <w:rFonts w:ascii="Times New Roman" w:hAnsi="Times New Roman"/>
          <w:b w:val="false"/>
          <w:i w:val="false"/>
          <w:color w:val="000000"/>
          <w:sz w:val="24"/>
        </w:rPr>
        <w:t>A resident may be discharged from subacute level of care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resident’s treatment plan goals and objectives for subacute services have been met and a discharge plan to outpatient or other community-based services is in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resident’s physical condition necessitates transfer to a more intensive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resident is not making progress toward treatment goals and there is no reasonable expectation of progress at the subacute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resident becomes a danger to self, others, or facility structure and requires an emergency transfer to a higher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resident repeatedly refuses to participate in the resident’s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71.13(7)</w:t>
      </w:r>
      <w:r>
        <w:rPr>
          <w:rFonts w:ascii="Times New Roman" w:hAnsi="Times New Roman"/>
          <w:b w:val="false"/>
          <w:i w:val="false"/>
          <w:color w:val="000000"/>
          <w:sz w:val="24"/>
        </w:rPr>
        <w:t> </w:t>
      </w:r>
      <w:r>
        <w:rPr>
          <w:rFonts w:ascii="Times New Roman" w:hAnsi="Times New Roman"/>
          <w:b w:val="false"/>
          <w:i/>
          <w:color w:val="000000"/>
          <w:sz w:val="24"/>
        </w:rPr>
        <w:t xml:space="preserve">Discharge or transfer.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facility shall give prior notification to the resident, as well as the resident’s next of kin, legal representative, attending physician or advanced registered nurse practitioner, and sponsoring agency, if any, prior to transfer or discharge of any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subacute care facility shall make proper arrangements for the welfare of the resident prior to transfer or discharge in the event of an emergency or inability to reach the next of kin or legal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resident is to be transferred to another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Notification shall be made to the receiving facility no less than 24 hours prior to transfer unless paragraph </w:t>
      </w:r>
      <w:hyperlink r:id="rId19">
        <w:r>
          <w:rPr>
            <w:rStyle w:val="Hyperlink"/>
            <w:rFonts w:ascii="Times New Roman" w:hAnsi="Times New Roman"/>
            <w:b w:val="false"/>
            <w:i w:val="false"/>
            <w:color w:val="000000"/>
            <w:sz w:val="24"/>
          </w:rPr>
          <w:t>71.13(6)</w:t>
        </w:r>
      </w:hyperlink>
      <w:r>
        <w:rPr>
          <w:rFonts w:ascii="Times New Roman" w:hAnsi="Times New Roman"/>
          <w:b w:val="false"/>
          <w:i/>
          <w:color w:val="000000"/>
          <w:sz w:val="24"/>
        </w:rPr>
        <w:t>“d”</w:t>
      </w:r>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Prior to the transfer or discharge of the resident, arrangements to provide for continuity of care shall be made with the receiving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appropriate record as set forth in subrule </w:t>
      </w:r>
      <w:hyperlink r:id="rId20">
        <w:r>
          <w:rPr>
            <w:rStyle w:val="Hyperlink"/>
            <w:rFonts w:ascii="Times New Roman" w:hAnsi="Times New Roman"/>
            <w:b w:val="false"/>
            <w:i w:val="false"/>
            <w:color w:val="000000"/>
            <w:sz w:val="24"/>
          </w:rPr>
          <w:t>71.20(1)</w:t>
        </w:r>
      </w:hyperlink>
      <w:r>
        <w:rPr>
          <w:rFonts w:ascii="Times New Roman" w:hAnsi="Times New Roman"/>
          <w:b w:val="false"/>
          <w:i w:val="false"/>
          <w:color w:val="000000"/>
          <w:sz w:val="24"/>
        </w:rPr>
        <w:t xml:space="preserve"> shall accompany the resident when the resident is transferred or discharged.</w:t>
      </w:r>
    </w:p>
    <w:p>
      <w:pPr>
        <w:spacing w:before="0" w:after="0" w:line="480"/>
        <w:ind w:left="120"/>
        <w:jc w:val="both"/>
      </w:pPr>
      <w:r>
        <w:rPr>
          <w:rFonts w:ascii="Times New Roman" w:hAnsi="Times New Roman"/>
          <w:b/>
          <w:i w:val="false"/>
          <w:color w:val="000000"/>
          <w:sz w:val="24"/>
        </w:rPr>
        <w:t>481—71.14</w:t>
      </w:r>
      <w:r>
        <w:rPr>
          <w:rFonts w:ascii="Times New Roman" w:hAnsi="Times New Roman"/>
          <w:b/>
          <w:i w:val="false"/>
          <w:color w:val="000000"/>
          <w:sz w:val="24"/>
        </w:rPr>
        <w:t xml:space="preserve">(135G) </w:t>
      </w:r>
      <w:r>
        <w:rPr>
          <w:rFonts w:ascii="Times New Roman" w:hAnsi="Times New Roman"/>
          <w:b/>
          <w:i w:val="false"/>
          <w:color w:val="000000"/>
          <w:sz w:val="24"/>
        </w:rPr>
        <w:t xml:space="preserve">Treatment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71.14(1)</w:t>
      </w:r>
      <w:r>
        <w:rPr>
          <w:rFonts w:ascii="Times New Roman" w:hAnsi="Times New Roman"/>
          <w:b w:val="false"/>
          <w:i w:val="false"/>
          <w:color w:val="000000"/>
          <w:sz w:val="24"/>
        </w:rPr>
        <w:t> </w:t>
      </w:r>
      <w:r>
        <w:rPr>
          <w:rFonts w:ascii="Times New Roman" w:hAnsi="Times New Roman"/>
          <w:b w:val="false"/>
          <w:i w:val="false"/>
          <w:color w:val="000000"/>
          <w:sz w:val="24"/>
        </w:rPr>
        <w:t>A treatment plan must be developed with each resident. The plan must be based on initial and ongoing assessment of need, be designed to resolve the acute or crisis mental health symptoms or the imminent risk of acute or crisis mental health symptoms, and be completed within 24 hours of the resident’s admission.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71.14(2)</w:t>
      </w:r>
      <w:r>
        <w:rPr>
          <w:rFonts w:ascii="Times New Roman" w:hAnsi="Times New Roman"/>
          <w:b w:val="false"/>
          <w:i w:val="false"/>
          <w:color w:val="000000"/>
          <w:sz w:val="24"/>
        </w:rPr>
        <w:t> </w:t>
      </w:r>
      <w:r>
        <w:rPr>
          <w:rFonts w:ascii="Times New Roman" w:hAnsi="Times New Roman"/>
          <w:b w:val="false"/>
          <w:i w:val="false"/>
          <w:color w:val="000000"/>
          <w:sz w:val="24"/>
        </w:rPr>
        <w:t>The treatment plan must be documented in the resident’s record and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resident’s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date the plan is developed.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Standardized diagnostic formulations, including but not limited to the current Diagnostic and Statistical Manual (DSM) or the current International Statistical Classification of Diseases and Related Health Problems (ICD).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Problems and strengths of the resident that are to be addressed.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Observable and measurable individual objectives that relate to the specific problems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Interventions that address specific objectives, identification of staff responsible for interventions, and planned frequency of interventions.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Signatures of mental health professionals responsible for developing the plan, including the qualified prescriber.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Signatures of the resident and any parent, guardian, conservator, or legal custodian. Reasons for refusal to sign or inability to participate in treatment plan development must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 projected discharge date and anticipated postdischarge needs, including documentation of resources needed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Review of the treatment plan by the appropriate treatment staff at least daily and upon completion of the stated goals or objectives and documentation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Progress toward each treatment objective, with revisions as indicated;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Status of discharge plans, including availability of resources needed by the resident in the community, with revisions as indicated.</w:t>
      </w:r>
    </w:p>
    <w:p>
      <w:pPr>
        <w:spacing w:before="0" w:after="0" w:line="480"/>
        <w:ind w:left="120"/>
        <w:jc w:val="both"/>
      </w:pPr>
      <w:r>
        <w:rPr>
          <w:rFonts w:ascii="Times New Roman" w:hAnsi="Times New Roman"/>
          <w:b/>
          <w:i w:val="false"/>
          <w:color w:val="000000"/>
          <w:sz w:val="24"/>
        </w:rPr>
        <w:t>481—71.15</w:t>
      </w:r>
      <w:r>
        <w:rPr>
          <w:rFonts w:ascii="Times New Roman" w:hAnsi="Times New Roman"/>
          <w:b/>
          <w:i w:val="false"/>
          <w:color w:val="000000"/>
          <w:sz w:val="24"/>
        </w:rPr>
        <w:t xml:space="preserve">(135G) </w:t>
      </w:r>
      <w:r>
        <w:rPr>
          <w:rFonts w:ascii="Times New Roman" w:hAnsi="Times New Roman"/>
          <w:b/>
          <w:i w:val="false"/>
          <w:color w:val="000000"/>
          <w:sz w:val="24"/>
        </w:rPr>
        <w:t xml:space="preserve">Crisis intervention.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71.15(1)</w:t>
      </w:r>
      <w:r>
        <w:rPr>
          <w:rFonts w:ascii="Times New Roman" w:hAnsi="Times New Roman"/>
          <w:b w:val="false"/>
          <w:i w:val="false"/>
          <w:color w:val="000000"/>
          <w:sz w:val="24"/>
        </w:rPr>
        <w:t> </w:t>
      </w:r>
      <w:r>
        <w:rPr>
          <w:rFonts w:ascii="Times New Roman" w:hAnsi="Times New Roman"/>
          <w:b w:val="false"/>
          <w:i w:val="false"/>
          <w:color w:val="000000"/>
          <w:sz w:val="24"/>
        </w:rPr>
        <w:t>There shall be written policies and procedures concerning crisis intervention that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Directed to maximizing the growth and development of the individual by incorporating a hierarchy of available alternative methods that emphasize positive approaches;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Available in each program area and living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Available to individuals and their families;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Developed with the participation, as appropriate, of individuals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71.15(2)</w:t>
      </w:r>
      <w:r>
        <w:rPr>
          <w:rFonts w:ascii="Times New Roman" w:hAnsi="Times New Roman"/>
          <w:b w:val="false"/>
          <w:i w:val="false"/>
          <w:color w:val="000000"/>
          <w:sz w:val="24"/>
        </w:rPr>
        <w:t> </w:t>
      </w:r>
      <w:r>
        <w:rPr>
          <w:rFonts w:ascii="Times New Roman" w:hAnsi="Times New Roman"/>
          <w:b w:val="false"/>
          <w:i w:val="false"/>
          <w:color w:val="000000"/>
          <w:sz w:val="24"/>
        </w:rPr>
        <w:t>An emergency safety intervention must be performed in a manner that is safe, proportionate, and appropriate to the severity of the behavior and to the individual’s chronological and developmental age, size, gender, physical, medical, and psychiatric condition and personal history, including any history of physical or sexual abuse.</w:t>
      </w:r>
    </w:p>
    <w:p>
      <w:pPr>
        <w:spacing w:before="0" w:after="0" w:line="480"/>
        <w:ind w:left="120"/>
        <w:jc w:val="both"/>
      </w:pPr>
      <w:r>
        <w:rPr>
          <w:rFonts w:ascii="Times New Roman" w:hAnsi="Times New Roman"/>
          <w:b/>
          <w:i w:val="false"/>
          <w:color w:val="000000"/>
          <w:sz w:val="24"/>
        </w:rPr>
        <w:t>481—71.16</w:t>
      </w:r>
      <w:r>
        <w:rPr>
          <w:rFonts w:ascii="Times New Roman" w:hAnsi="Times New Roman"/>
          <w:b/>
          <w:i w:val="false"/>
          <w:color w:val="000000"/>
          <w:sz w:val="24"/>
        </w:rPr>
        <w:t xml:space="preserve">(135G) </w:t>
      </w:r>
      <w:r>
        <w:rPr>
          <w:rFonts w:ascii="Times New Roman" w:hAnsi="Times New Roman"/>
          <w:b/>
          <w:i w:val="false"/>
          <w:color w:val="000000"/>
          <w:sz w:val="24"/>
        </w:rPr>
        <w:t xml:space="preserve">Seclusion and restraint.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71.16(1)</w:t>
      </w:r>
      <w:r>
        <w:rPr>
          <w:rFonts w:ascii="Times New Roman" w:hAnsi="Times New Roman"/>
          <w:b w:val="false"/>
          <w:i w:val="false"/>
          <w:color w:val="000000"/>
          <w:sz w:val="24"/>
        </w:rPr>
        <w:t> </w:t>
      </w:r>
      <w:r>
        <w:rPr>
          <w:rFonts w:ascii="Times New Roman" w:hAnsi="Times New Roman"/>
          <w:b w:val="false"/>
          <w:i/>
          <w:color w:val="000000"/>
          <w:sz w:val="24"/>
        </w:rPr>
        <w:t xml:space="preserve">Use of a seclusion room. </w:t>
      </w:r>
      <w:r>
        <w:rPr>
          <w:rFonts w:ascii="Times New Roman" w:hAnsi="Times New Roman"/>
          <w:b w:val="false"/>
          <w:i w:val="false"/>
          <w:color w:val="000000"/>
          <w:sz w:val="24"/>
        </w:rPr>
        <w:t xml:space="preserve">Pursuant to Iowa Code section </w:t>
      </w:r>
      <w:hyperlink r:id="rId21">
        <w:r>
          <w:rPr>
            <w:rStyle w:val="Hyperlink"/>
            <w:rFonts w:ascii="Times New Roman" w:hAnsi="Times New Roman"/>
            <w:b w:val="false"/>
            <w:i w:val="false"/>
            <w:color w:val="000000"/>
            <w:sz w:val="24"/>
          </w:rPr>
          <w:t>135G.3(2)</w:t>
        </w:r>
      </w:hyperlink>
      <w:r>
        <w:rPr>
          <w:rFonts w:ascii="Times New Roman" w:hAnsi="Times New Roman"/>
          <w:b w:val="false"/>
          <w:i w:val="false"/>
          <w:color w:val="000000"/>
          <w:sz w:val="24"/>
        </w:rPr>
        <w:t xml:space="preserve">, a seclusion room used by a subacute care facility must meet the conditions of </w:t>
      </w:r>
      <w:r>
        <w:rPr>
          <w:rFonts w:ascii="Times New Roman" w:hAnsi="Times New Roman"/>
          <w:b w:val="false"/>
          <w:i w:val="false"/>
          <w:color w:val="000000"/>
          <w:sz w:val="24"/>
        </w:rPr>
        <w:t>42 CFR §483.364(b)</w:t>
      </w:r>
      <w:r>
        <w:rPr>
          <w:rFonts w:ascii="Times New Roman" w:hAnsi="Times New Roman"/>
          <w:b w:val="false"/>
          <w:i w:val="false"/>
          <w:color w:val="000000"/>
          <w:sz w:val="24"/>
        </w:rPr>
        <w:t>. Under no circumstances shall the use of the seclusion room exceed four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subacute care facility utilizing a seclusion room shall have written policies regarding its use and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Specify the types of behavior that may result in seclusion room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Delineate the licensed personnel who may authorize use of the seclusion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Require documentation of the time in the seclusion room, the reasons for use of the seclusion room, the reasons for any extension of time beyond one hour, and prohibit the use of the seclusion room in excess of four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Require notice to residents of the types of behavior that may result in seclusion room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staff member shall always be in hearing distance of the seclusion room, visually check the resident at least every 15 minutes, and document every check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seclusion room may not be used for punishment, for the convenience of staff, or as a substitution for supervision. A seclusion room may only be used when a less restrictive alternative has failed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 an emergency to prevent injury to the resident or to others;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crisis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71.16(2)</w:t>
      </w:r>
      <w:r>
        <w:rPr>
          <w:rFonts w:ascii="Times New Roman" w:hAnsi="Times New Roman"/>
          <w:b w:val="false"/>
          <w:i w:val="false"/>
          <w:color w:val="000000"/>
          <w:sz w:val="24"/>
        </w:rPr>
        <w:t> </w:t>
      </w:r>
      <w:r>
        <w:rPr>
          <w:rFonts w:ascii="Times New Roman" w:hAnsi="Times New Roman"/>
          <w:b w:val="false"/>
          <w:i/>
          <w:color w:val="000000"/>
          <w:sz w:val="24"/>
        </w:rPr>
        <w:t xml:space="preserve">Use of restraints. </w:t>
      </w:r>
      <w:r>
        <w:rPr>
          <w:rFonts w:ascii="Times New Roman" w:hAnsi="Times New Roman"/>
          <w:b w:val="false"/>
          <w:i w:val="false"/>
          <w:color w:val="000000"/>
          <w:sz w:val="24"/>
        </w:rPr>
        <w:t>There shall be written policies that define the use of restraint, designate the staff member who may authorize its use, and establish a mechanism for monitoring and controlling its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Restraint may not be used for punishment, for the convenience of staff, or as a substitution for supervision. Restraint may only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 an emergency to prevent injury to the resident or to others;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crisis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Restraint may not result in harm or injury to the resident and may only be used to ensure the safety of the resident or others during an emergency situation until the emergency situation has ceased, even if the restraint order has not expired.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use of restraint should be selected only when other less restrictive measures have been found to be ineffective to protect the resident or others. The staff shall demonstrate effective treatment approaches and alternatives to the use of restraint.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Under no circumstances can a resident be allowed to actively or passively assist in the restraint of another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Staff trained in the use of emergency safety interventions must be physically present and continually assessing and monitoring the well-being of the resident and the safe use of restraint throughout the duration of the emergency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71.16(3)</w:t>
      </w:r>
      <w:r>
        <w:rPr>
          <w:rFonts w:ascii="Times New Roman" w:hAnsi="Times New Roman"/>
          <w:b w:val="false"/>
          <w:i w:val="false"/>
          <w:color w:val="000000"/>
          <w:sz w:val="24"/>
        </w:rPr>
        <w:t> </w:t>
      </w:r>
      <w:r>
        <w:rPr>
          <w:rFonts w:ascii="Times New Roman" w:hAnsi="Times New Roman"/>
          <w:b w:val="false"/>
          <w:i/>
          <w:color w:val="000000"/>
          <w:sz w:val="24"/>
        </w:rPr>
        <w:t xml:space="preserve">Orders for restraint or seclusion. </w:t>
      </w:r>
      <w:r>
        <w:rPr>
          <w:rFonts w:ascii="Times New Roman" w:hAnsi="Times New Roman"/>
          <w:b w:val="false"/>
          <w:i w:val="false"/>
          <w:color w:val="000000"/>
          <w:sz w:val="24"/>
        </w:rPr>
        <w:t>An order for restraint or seclusion cannot be written as a standing order or on an as-needed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order for restraint or seclusion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of the ordering physician, physician associate or advanced registered nurse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date and time the order is obtained.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emergency safety intervention ordered, including the length of time for which restraint or seclusion is authorized.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Orders for restraint or seclusion must be by a physician, physician associate or advanced registered nurse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Verbal orders must be received while the emergency safety intervention is being initiated by staff or immediately after the emergency safety situation ends and verified in writing in the resident’s record by the physician, physician associate or advanced registered nurse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Once the one-time order for the specific resident in an emergency safety situation has expired, it may not be renewed on a planned, anticipated, or as-needed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71.16(4)</w:t>
      </w:r>
      <w:r>
        <w:rPr>
          <w:rFonts w:ascii="Times New Roman" w:hAnsi="Times New Roman"/>
          <w:b w:val="false"/>
          <w:i w:val="false"/>
          <w:color w:val="000000"/>
          <w:sz w:val="24"/>
        </w:rPr>
        <w:t> </w:t>
      </w:r>
      <w:r>
        <w:rPr>
          <w:rFonts w:ascii="Times New Roman" w:hAnsi="Times New Roman"/>
          <w:b w:val="false"/>
          <w:i/>
          <w:color w:val="000000"/>
          <w:sz w:val="24"/>
        </w:rPr>
        <w:t xml:space="preserve">Simultaneous use prohibited. </w:t>
      </w:r>
      <w:r>
        <w:rPr>
          <w:rFonts w:ascii="Times New Roman" w:hAnsi="Times New Roman"/>
          <w:b w:val="false"/>
          <w:i w:val="false"/>
          <w:color w:val="000000"/>
          <w:sz w:val="24"/>
        </w:rPr>
        <w:t>Restraint and seclusion shall not be used simultaneously.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71.16(5)</w:t>
      </w:r>
      <w:r>
        <w:rPr>
          <w:rFonts w:ascii="Times New Roman" w:hAnsi="Times New Roman"/>
          <w:b w:val="false"/>
          <w:i w:val="false"/>
          <w:color w:val="000000"/>
          <w:sz w:val="24"/>
        </w:rPr>
        <w:t> </w:t>
      </w:r>
      <w:r>
        <w:rPr>
          <w:rFonts w:ascii="Times New Roman" w:hAnsi="Times New Roman"/>
          <w:b w:val="false"/>
          <w:i/>
          <w:color w:val="000000"/>
          <w:sz w:val="24"/>
        </w:rPr>
        <w:t xml:space="preserve">Documentation of use of restraint or seclusion. </w:t>
      </w:r>
      <w:r>
        <w:rPr>
          <w:rFonts w:ascii="Times New Roman" w:hAnsi="Times New Roman"/>
          <w:b w:val="false"/>
          <w:i w:val="false"/>
          <w:color w:val="000000"/>
          <w:sz w:val="24"/>
        </w:rPr>
        <w:t>Staff must document in the resident’s record and in a centralized tracking system any use of restraint or seclusion.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Documentation must be completed by the end of the shift in which the intervention occurs or during the shift in which it ends.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Documentation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order for restraint or seclusion.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time the emergency safety intervention began and 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emergency safety situation that required restraint or seclusion.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name of staff involved in the emergency safety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interventions used and their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signature of the physician, physician associate or advanced registered nurse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71.16(6)</w:t>
      </w:r>
      <w:r>
        <w:rPr>
          <w:rFonts w:ascii="Times New Roman" w:hAnsi="Times New Roman"/>
          <w:b w:val="false"/>
          <w:i w:val="false"/>
          <w:color w:val="000000"/>
          <w:sz w:val="24"/>
        </w:rPr>
        <w:t> </w:t>
      </w:r>
      <w:r>
        <w:rPr>
          <w:rFonts w:ascii="Times New Roman" w:hAnsi="Times New Roman"/>
          <w:b w:val="false"/>
          <w:i/>
          <w:color w:val="000000"/>
          <w:sz w:val="24"/>
        </w:rPr>
        <w:t xml:space="preserve">Meeting to process restraint or seclusion. </w:t>
      </w:r>
      <w:r>
        <w:rPr>
          <w:rFonts w:ascii="Times New Roman" w:hAnsi="Times New Roman"/>
          <w:b w:val="false"/>
          <w:i w:val="false"/>
          <w:color w:val="000000"/>
          <w:sz w:val="24"/>
        </w:rPr>
        <w:t>As soon as reasonably possible after the restraint or seclusion of a resident has terminated, staff must meet to process the restraint or seclusion occurrence and document in writing the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71.16(7)</w:t>
      </w:r>
      <w:r>
        <w:rPr>
          <w:rFonts w:ascii="Times New Roman" w:hAnsi="Times New Roman"/>
          <w:b w:val="false"/>
          <w:i w:val="false"/>
          <w:color w:val="000000"/>
          <w:sz w:val="24"/>
        </w:rPr>
        <w:t> </w:t>
      </w:r>
      <w:r>
        <w:rPr>
          <w:rFonts w:ascii="Times New Roman" w:hAnsi="Times New Roman"/>
          <w:b w:val="false"/>
          <w:i/>
          <w:color w:val="000000"/>
          <w:sz w:val="24"/>
        </w:rPr>
        <w:t xml:space="preserve">Multiple occasions of restraint or seclusion. </w:t>
      </w:r>
      <w:r>
        <w:rPr>
          <w:rFonts w:ascii="Times New Roman" w:hAnsi="Times New Roman"/>
          <w:b w:val="false"/>
          <w:i w:val="false"/>
          <w:color w:val="000000"/>
          <w:sz w:val="24"/>
        </w:rPr>
        <w:t>A resident who requires restraint or seclusion on multiple occasions should be considered for a higher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71.16(8)</w:t>
      </w:r>
      <w:r>
        <w:rPr>
          <w:rFonts w:ascii="Times New Roman" w:hAnsi="Times New Roman"/>
          <w:b w:val="false"/>
          <w:i w:val="false"/>
          <w:color w:val="000000"/>
          <w:sz w:val="24"/>
        </w:rPr>
        <w:t> </w:t>
      </w:r>
      <w:r>
        <w:rPr>
          <w:rFonts w:ascii="Times New Roman" w:hAnsi="Times New Roman"/>
          <w:b w:val="false"/>
          <w:i/>
          <w:color w:val="000000"/>
          <w:sz w:val="24"/>
        </w:rPr>
        <w:t xml:space="preserve">Staff training. </w:t>
      </w:r>
      <w:r>
        <w:rPr>
          <w:rFonts w:ascii="Times New Roman" w:hAnsi="Times New Roman"/>
          <w:b w:val="false"/>
          <w:i w:val="false"/>
          <w:color w:val="000000"/>
          <w:sz w:val="24"/>
        </w:rPr>
        <w:t>The facility shall provide to the staff training by qualified professionals on physical restraint and seclusion theory and techniques.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facility shall keep a record of the training, including attendance, for review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Only staff who have documented training in physical restraint and seclusion theory and techniques are authorized to assist with the seclusion or physical restraint of a resident.</w:t>
      </w:r>
    </w:p>
    <w:p>
      <w:pPr>
        <w:spacing w:before="0" w:after="0" w:line="480"/>
        <w:ind w:left="120"/>
        <w:jc w:val="both"/>
      </w:pPr>
      <w:r>
        <w:rPr>
          <w:rFonts w:ascii="Times New Roman" w:hAnsi="Times New Roman"/>
          <w:b/>
          <w:i w:val="false"/>
          <w:color w:val="000000"/>
          <w:sz w:val="24"/>
        </w:rPr>
        <w:t>481—71.17</w:t>
      </w:r>
      <w:r>
        <w:rPr>
          <w:rFonts w:ascii="Times New Roman" w:hAnsi="Times New Roman"/>
          <w:b/>
          <w:i w:val="false"/>
          <w:color w:val="000000"/>
          <w:sz w:val="24"/>
        </w:rPr>
        <w:t xml:space="preserve">(135G) </w:t>
      </w:r>
      <w:r>
        <w:rPr>
          <w:rFonts w:ascii="Times New Roman" w:hAnsi="Times New Roman"/>
          <w:b/>
          <w:i w:val="false"/>
          <w:color w:val="000000"/>
          <w:sz w:val="24"/>
        </w:rPr>
        <w:t xml:space="preserve">Medication management.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71.17(1)</w:t>
      </w:r>
      <w:r>
        <w:rPr>
          <w:rFonts w:ascii="Times New Roman" w:hAnsi="Times New Roman"/>
          <w:b w:val="false"/>
          <w:i w:val="false"/>
          <w:color w:val="000000"/>
          <w:sz w:val="24"/>
        </w:rPr>
        <w:t> </w:t>
      </w:r>
      <w:r>
        <w:rPr>
          <w:rFonts w:ascii="Times New Roman" w:hAnsi="Times New Roman"/>
          <w:b w:val="false"/>
          <w:i w:val="false"/>
          <w:color w:val="000000"/>
          <w:sz w:val="24"/>
        </w:rPr>
        <w:t>Medications must be ordered by qualified prescribers and administered by qualified personnel. For purposes of this subrule, “qualified personnel” means, at a minimum, a certified medication aide.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71.17(2)</w:t>
      </w:r>
      <w:r>
        <w:rPr>
          <w:rFonts w:ascii="Times New Roman" w:hAnsi="Times New Roman"/>
          <w:b w:val="false"/>
          <w:i w:val="false"/>
          <w:color w:val="000000"/>
          <w:sz w:val="24"/>
        </w:rPr>
        <w:t> </w:t>
      </w:r>
      <w:r>
        <w:rPr>
          <w:rFonts w:ascii="Times New Roman" w:hAnsi="Times New Roman"/>
          <w:b w:val="false"/>
          <w:i w:val="false"/>
          <w:color w:val="000000"/>
          <w:sz w:val="24"/>
        </w:rPr>
        <w:t>Prescription medication must be legally dispensed and labeled according to state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71.17(3)</w:t>
      </w:r>
      <w:r>
        <w:rPr>
          <w:rFonts w:ascii="Times New Roman" w:hAnsi="Times New Roman"/>
          <w:b w:val="false"/>
          <w:i w:val="false"/>
          <w:color w:val="000000"/>
          <w:sz w:val="24"/>
        </w:rPr>
        <w:t> </w:t>
      </w:r>
      <w:r>
        <w:rPr>
          <w:rFonts w:ascii="Times New Roman" w:hAnsi="Times New Roman"/>
          <w:b w:val="false"/>
          <w:i w:val="false"/>
          <w:color w:val="000000"/>
          <w:sz w:val="24"/>
        </w:rPr>
        <w:t>All medication errors, drug reactions and suspected drug overmedication must be documented and reported to the practitioner who prescribed the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71.17(4)</w:t>
      </w:r>
      <w:r>
        <w:rPr>
          <w:rFonts w:ascii="Times New Roman" w:hAnsi="Times New Roman"/>
          <w:b w:val="false"/>
          <w:i w:val="false"/>
          <w:color w:val="000000"/>
          <w:sz w:val="24"/>
        </w:rPr>
        <w:t> </w:t>
      </w:r>
      <w:r>
        <w:rPr>
          <w:rFonts w:ascii="Times New Roman" w:hAnsi="Times New Roman"/>
          <w:b w:val="false"/>
          <w:i w:val="false"/>
          <w:color w:val="000000"/>
          <w:sz w:val="24"/>
        </w:rPr>
        <w:t>All medications and other preparations intended for internal or external human use must be stored in medicine cabinets or drug rooms. When preservation of the medication or other preparation requires refrigeration, the facility must provide a means of securely refrigerating these items. Such cabinets or drug rooms must be kept securely locked when not in use, with the key in the possession of the supervising nurse or other authorized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71.17(5)</w:t>
      </w:r>
      <w:r>
        <w:rPr>
          <w:rFonts w:ascii="Times New Roman" w:hAnsi="Times New Roman"/>
          <w:b w:val="false"/>
          <w:i w:val="false"/>
          <w:color w:val="000000"/>
          <w:sz w:val="24"/>
        </w:rPr>
        <w:t> </w:t>
      </w:r>
      <w:r>
        <w:rPr>
          <w:rFonts w:ascii="Times New Roman" w:hAnsi="Times New Roman"/>
          <w:b w:val="false"/>
          <w:i w:val="false"/>
          <w:color w:val="000000"/>
          <w:sz w:val="24"/>
        </w:rPr>
        <w:t>Schedule II drugs must be stored within two separately locked compartments at all times and accessible only to qualified personnel in charge of administering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71.17(6)</w:t>
      </w:r>
      <w:r>
        <w:rPr>
          <w:rFonts w:ascii="Times New Roman" w:hAnsi="Times New Roman"/>
          <w:b w:val="false"/>
          <w:i w:val="false"/>
          <w:color w:val="000000"/>
          <w:sz w:val="24"/>
        </w:rPr>
        <w:t> </w:t>
      </w:r>
      <w:r>
        <w:rPr>
          <w:rFonts w:ascii="Times New Roman" w:hAnsi="Times New Roman"/>
          <w:b w:val="false"/>
          <w:i w:val="false"/>
          <w:color w:val="000000"/>
          <w:sz w:val="24"/>
        </w:rPr>
        <w:t>Any unused portions of program-prescribed medication(s) must be either turned over to the resident with written authorization and directions by the qualified prescriber or returned to a pharmacy for proper disposition by the pharmacist.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71.17(7)</w:t>
      </w:r>
      <w:r>
        <w:rPr>
          <w:rFonts w:ascii="Times New Roman" w:hAnsi="Times New Roman"/>
          <w:b w:val="false"/>
          <w:i w:val="false"/>
          <w:color w:val="000000"/>
          <w:sz w:val="24"/>
        </w:rPr>
        <w:t> </w:t>
      </w:r>
      <w:r>
        <w:rPr>
          <w:rFonts w:ascii="Times New Roman" w:hAnsi="Times New Roman"/>
          <w:b w:val="false"/>
          <w:i w:val="false"/>
          <w:color w:val="000000"/>
          <w:sz w:val="24"/>
        </w:rPr>
        <w:t xml:space="preserve">Whenever a resident brings the resident’s own prescribed medications into the facility, such medications must not be administered unless identified by a qualified prescriber or pharmacist and ordered by a qualified prescriber. If such medications cannot be administered, they must be packaged, sealed, and returned to an adult member of the resident’s immediate family or the legal guardian or securely stored and returned to the resident upon discharge. However, if previously prescribed medication would prove harmful to the resident, the medication may be withheld from the resident and disposed of in accordance with subrule </w:t>
      </w:r>
      <w:hyperlink r:id="rId22">
        <w:r>
          <w:rPr>
            <w:rStyle w:val="Hyperlink"/>
            <w:rFonts w:ascii="Times New Roman" w:hAnsi="Times New Roman"/>
            <w:b w:val="false"/>
            <w:i w:val="false"/>
            <w:color w:val="000000"/>
            <w:sz w:val="24"/>
          </w:rPr>
          <w:t>71.17(6)</w:t>
        </w:r>
      </w:hyperlink>
      <w:r>
        <w:rPr>
          <w:rFonts w:ascii="Times New Roman" w:hAnsi="Times New Roman"/>
          <w:b w:val="false"/>
          <w:i w:val="false"/>
          <w:color w:val="000000"/>
          <w:sz w:val="24"/>
        </w:rPr>
        <w:t>. There must be documentation by the qualified prescriber in the resident’s clinical record citing the dangers or contraindications of the medication being withheld.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71.17(8)</w:t>
      </w:r>
      <w:r>
        <w:rPr>
          <w:rFonts w:ascii="Times New Roman" w:hAnsi="Times New Roman"/>
          <w:b w:val="false"/>
          <w:i w:val="false"/>
          <w:color w:val="000000"/>
          <w:sz w:val="24"/>
        </w:rPr>
        <w:t> </w:t>
      </w:r>
      <w:r>
        <w:rPr>
          <w:rFonts w:ascii="Times New Roman" w:hAnsi="Times New Roman"/>
          <w:b w:val="false"/>
          <w:i w:val="false"/>
          <w:color w:val="000000"/>
          <w:sz w:val="24"/>
        </w:rPr>
        <w:t>All potent, poisonous, or caustic materials shall be stored separately from medications, plainly labeled and stored in a specific, well-illuminated cabinet, closet or storeroom, and made accessible only to authorized personnel.</w:t>
      </w:r>
    </w:p>
    <w:p>
      <w:pPr>
        <w:spacing w:before="0" w:after="0" w:line="480"/>
        <w:ind w:left="120"/>
        <w:jc w:val="both"/>
      </w:pPr>
      <w:r>
        <w:rPr>
          <w:rFonts w:ascii="Times New Roman" w:hAnsi="Times New Roman"/>
          <w:b/>
          <w:i w:val="false"/>
          <w:color w:val="000000"/>
          <w:sz w:val="24"/>
        </w:rPr>
        <w:t>481—71.18</w:t>
      </w:r>
      <w:r>
        <w:rPr>
          <w:rFonts w:ascii="Times New Roman" w:hAnsi="Times New Roman"/>
          <w:b/>
          <w:i w:val="false"/>
          <w:color w:val="000000"/>
          <w:sz w:val="24"/>
        </w:rPr>
        <w:t xml:space="preserve">(135G) </w:t>
      </w:r>
      <w:r>
        <w:rPr>
          <w:rFonts w:ascii="Times New Roman" w:hAnsi="Times New Roman"/>
          <w:b/>
          <w:i w:val="false"/>
          <w:color w:val="000000"/>
          <w:sz w:val="24"/>
        </w:rPr>
        <w:t xml:space="preserve">Dietary.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71.18(1)</w:t>
      </w:r>
      <w:r>
        <w:rPr>
          <w:rFonts w:ascii="Times New Roman" w:hAnsi="Times New Roman"/>
          <w:b w:val="false"/>
          <w:i w:val="false"/>
          <w:color w:val="000000"/>
          <w:sz w:val="24"/>
        </w:rPr>
        <w:t> </w:t>
      </w:r>
      <w:r>
        <w:rPr>
          <w:rFonts w:ascii="Times New Roman" w:hAnsi="Times New Roman"/>
          <w:b w:val="false"/>
          <w:i/>
          <w:color w:val="000000"/>
          <w:sz w:val="24"/>
        </w:rPr>
        <w:t xml:space="preserve">Nutrition and menu planning. </w:t>
      </w:r>
      <w:r>
        <w:rPr>
          <w:rFonts w:ascii="Times New Roman" w:hAnsi="Times New Roman"/>
          <w:b w:val="false"/>
          <w:i w:val="false"/>
          <w:color w:val="000000"/>
          <w:sz w:val="24"/>
        </w:rPr>
        <w:t>At least three meals or their equivalent shall be served daily, at regular hours, and menus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Planned and followed to meet the nutritional needs of residents.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Planned and served to include foods and amounts necessary to meet federal dietary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71.18(2)</w:t>
      </w:r>
      <w:r>
        <w:rPr>
          <w:rFonts w:ascii="Times New Roman" w:hAnsi="Times New Roman"/>
          <w:b w:val="false"/>
          <w:i w:val="false"/>
          <w:color w:val="000000"/>
          <w:sz w:val="24"/>
        </w:rPr>
        <w:t> </w:t>
      </w:r>
      <w:r>
        <w:rPr>
          <w:rFonts w:ascii="Times New Roman" w:hAnsi="Times New Roman"/>
          <w:b w:val="false"/>
          <w:i/>
          <w:color w:val="000000"/>
          <w:sz w:val="24"/>
        </w:rPr>
        <w:t xml:space="preserve">Dietary storage, food preparation, and service. </w:t>
      </w:r>
      <w:r>
        <w:rPr>
          <w:rFonts w:ascii="Times New Roman" w:hAnsi="Times New Roman"/>
          <w:b w:val="false"/>
          <w:i w:val="false"/>
          <w:color w:val="000000"/>
          <w:sz w:val="24"/>
        </w:rPr>
        <w:t xml:space="preserve">All food shall be handled, prepared, served and stored in compliance with the Food Code adopted pursuant to Iowa Code section </w:t>
      </w:r>
      <w:hyperlink r:id="rId23">
        <w:r>
          <w:rPr>
            <w:rStyle w:val="Hyperlink"/>
            <w:rFonts w:ascii="Times New Roman" w:hAnsi="Times New Roman"/>
            <w:b w:val="false"/>
            <w:i w:val="false"/>
            <w:color w:val="000000"/>
            <w:sz w:val="24"/>
          </w:rPr>
          <w:t>137F.2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481—71.19</w:t>
      </w:r>
      <w:r>
        <w:rPr>
          <w:rFonts w:ascii="Times New Roman" w:hAnsi="Times New Roman"/>
          <w:b/>
          <w:i w:val="false"/>
          <w:color w:val="000000"/>
          <w:sz w:val="24"/>
        </w:rPr>
        <w:t xml:space="preserve">(135G) </w:t>
      </w:r>
      <w:r>
        <w:rPr>
          <w:rFonts w:ascii="Times New Roman" w:hAnsi="Times New Roman"/>
          <w:b/>
          <w:i w:val="false"/>
          <w:color w:val="000000"/>
          <w:sz w:val="24"/>
        </w:rPr>
        <w:t xml:space="preserve">Buildings, furnishings, and equipment.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71.19(1)</w:t>
      </w:r>
      <w:r>
        <w:rPr>
          <w:rFonts w:ascii="Times New Roman" w:hAnsi="Times New Roman"/>
          <w:b w:val="false"/>
          <w:i w:val="false"/>
          <w:color w:val="000000"/>
          <w:sz w:val="24"/>
        </w:rPr>
        <w:t> </w:t>
      </w:r>
      <w:r>
        <w:rPr>
          <w:rFonts w:ascii="Times New Roman" w:hAnsi="Times New Roman"/>
          <w:b w:val="false"/>
          <w:i/>
          <w:color w:val="000000"/>
          <w:sz w:val="24"/>
        </w:rPr>
        <w:t xml:space="preserve">Buildings—general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windows shall be supplied with window treatments that are kept clean and in good repair.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Whenever glass sliding doors or transparent panels are used, they shall be marked conspicuously.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facility shall meet the equivalent requirements of the appropriate group occupancy of the state fire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71.19(2)</w:t>
      </w:r>
      <w:r>
        <w:rPr>
          <w:rFonts w:ascii="Times New Roman" w:hAnsi="Times New Roman"/>
          <w:b w:val="false"/>
          <w:i w:val="false"/>
          <w:color w:val="000000"/>
          <w:sz w:val="24"/>
        </w:rPr>
        <w:t> </w:t>
      </w:r>
      <w:r>
        <w:rPr>
          <w:rFonts w:ascii="Times New Roman" w:hAnsi="Times New Roman"/>
          <w:b w:val="false"/>
          <w:i/>
          <w:color w:val="000000"/>
          <w:sz w:val="24"/>
        </w:rPr>
        <w:t xml:space="preserve">Furnishings and equipment.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furnishings and equipment shall be durable, cleanable, and appropriate to their function.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Upholstery materials shall be moisture- and soil-resistant as needed, except on furniture provided by the resident and the property of the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71.19(3)</w:t>
      </w:r>
      <w:r>
        <w:rPr>
          <w:rFonts w:ascii="Times New Roman" w:hAnsi="Times New Roman"/>
          <w:b w:val="false"/>
          <w:i w:val="false"/>
          <w:color w:val="000000"/>
          <w:sz w:val="24"/>
        </w:rPr>
        <w:t> </w:t>
      </w:r>
      <w:r>
        <w:rPr>
          <w:rFonts w:ascii="Times New Roman" w:hAnsi="Times New Roman"/>
          <w:b w:val="false"/>
          <w:i/>
          <w:color w:val="000000"/>
          <w:sz w:val="24"/>
        </w:rPr>
        <w:t xml:space="preserve">Dining area and common area. </w:t>
      </w:r>
      <w:r>
        <w:rPr>
          <w:rFonts w:ascii="Times New Roman" w:hAnsi="Times New Roman"/>
          <w:b w:val="false"/>
          <w:i w:val="false"/>
          <w:color w:val="000000"/>
          <w:sz w:val="24"/>
        </w:rPr>
        <w:t>Every facility shall have a dining area and a common area easily accessible to all residents.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common area shall be suitably furnished and maintained for the use of residents and their visitors and may be used for recreational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Dining areas shall be kept clean and sanitary and furnished with dining tables and chairs appropriate to the size and function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71.19(4)</w:t>
      </w:r>
      <w:r>
        <w:rPr>
          <w:rFonts w:ascii="Times New Roman" w:hAnsi="Times New Roman"/>
          <w:b w:val="false"/>
          <w:i w:val="false"/>
          <w:color w:val="000000"/>
          <w:sz w:val="24"/>
        </w:rPr>
        <w:t> </w:t>
      </w:r>
      <w:r>
        <w:rPr>
          <w:rFonts w:ascii="Times New Roman" w:hAnsi="Times New Roman"/>
          <w:b w:val="false"/>
          <w:i/>
          <w:color w:val="000000"/>
          <w:sz w:val="24"/>
        </w:rPr>
        <w:t xml:space="preserve">Bedrooms. </w:t>
      </w:r>
      <w:r>
        <w:rPr>
          <w:rFonts w:ascii="Times New Roman" w:hAnsi="Times New Roman"/>
          <w:b w:val="false"/>
          <w:i w:val="false"/>
          <w:color w:val="000000"/>
          <w:sz w:val="24"/>
        </w:rPr>
        <w:t>Bedrooms shall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resident is provided with a twin-sized or larger bed, substantially constructed and in good repair. Rollaway beds, metal cots, or folding beds are not acceptable.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bed is equipped with the following: casters or glides; clean springs in good repair; a clean, comfortable, well-constructed mattress approximately five inches thick and standard in size for the bed; and clean, comfortable pillows of average bed size.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Each resident is provided with a bedside table with a drawer to accommodate personal possessions.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There is a comfortable chair, either a rocking chair or armchair, per resident bed. The resident’s personal wishes are considered.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There is drawer space for each resident’s clothing. In a bedroom in which more than one resident resides, drawer space is assigned to each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Beds and other furnishings do not obstruct free passage to and through doorways.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Beds are not placed in such a manner that the side of the bed is against the radiator or in close proximity to it unless the radiator is covered so as to protect the resident from contact with it or from excessive heat.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There are no more than two residents per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71.19(5)</w:t>
      </w:r>
      <w:r>
        <w:rPr>
          <w:rFonts w:ascii="Times New Roman" w:hAnsi="Times New Roman"/>
          <w:b w:val="false"/>
          <w:i w:val="false"/>
          <w:color w:val="000000"/>
          <w:sz w:val="24"/>
        </w:rPr>
        <w:t> </w:t>
      </w:r>
      <w:r>
        <w:rPr>
          <w:rFonts w:ascii="Times New Roman" w:hAnsi="Times New Roman"/>
          <w:b w:val="false"/>
          <w:i/>
          <w:color w:val="000000"/>
          <w:sz w:val="24"/>
        </w:rPr>
        <w:t xml:space="preserve">Bath and toilet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There shall be a minimum of one toilet and one sink for each four residents and one shower for each eight residents.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sinks shall have paper towel dispensers and an available supply of soap.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Toilet paper shall be readily available to residents.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71.19(6)</w:t>
      </w:r>
      <w:r>
        <w:rPr>
          <w:rFonts w:ascii="Times New Roman" w:hAnsi="Times New Roman"/>
          <w:b w:val="false"/>
          <w:i w:val="false"/>
          <w:color w:val="000000"/>
          <w:sz w:val="24"/>
        </w:rPr>
        <w:t> </w:t>
      </w:r>
      <w:r>
        <w:rPr>
          <w:rFonts w:ascii="Times New Roman" w:hAnsi="Times New Roman"/>
          <w:b w:val="false"/>
          <w:i/>
          <w:color w:val="000000"/>
          <w:sz w:val="24"/>
        </w:rPr>
        <w:t xml:space="preserve">Heating. </w:t>
      </w:r>
      <w:r>
        <w:rPr>
          <w:rFonts w:ascii="Times New Roman" w:hAnsi="Times New Roman"/>
          <w:b w:val="false"/>
          <w:i w:val="false"/>
          <w:color w:val="000000"/>
          <w:sz w:val="24"/>
        </w:rPr>
        <w:t>A centralized heating system shall be maintained in good working order and capable of maintaining a comfortable temperature for residents of the facility. Portable units or space heaters cannot be used in the facility except in an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71.19(7)</w:t>
      </w:r>
      <w:r>
        <w:rPr>
          <w:rFonts w:ascii="Times New Roman" w:hAnsi="Times New Roman"/>
          <w:b w:val="false"/>
          <w:i w:val="false"/>
          <w:color w:val="000000"/>
          <w:sz w:val="24"/>
        </w:rPr>
        <w:t> </w:t>
      </w:r>
      <w:r>
        <w:rPr>
          <w:rFonts w:ascii="Times New Roman" w:hAnsi="Times New Roman"/>
          <w:b w:val="false"/>
          <w:i/>
          <w:color w:val="000000"/>
          <w:sz w:val="24"/>
        </w:rPr>
        <w:t xml:space="preserve">Water supply.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Private sources of water supply shall be tested annually and the report made available for review by the department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bacterially unsafe source of water supply is grounds for denial, suspension, or revocation of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may require testing of private sources of water supply at its discretion in addition to the annual test. The facility shall supply reports of such tests as directed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Hot and cold running water under pressure shall be available in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Prior to construction of a new facility or new water source, private sources of water supply shall be surveyed and comply with the requirements of the department.</w:t>
      </w:r>
    </w:p>
    <w:p>
      <w:pPr>
        <w:spacing w:before="0" w:after="0" w:line="480"/>
        <w:ind w:left="120"/>
        <w:jc w:val="both"/>
      </w:pPr>
      <w:r>
        <w:rPr>
          <w:rFonts w:ascii="Times New Roman" w:hAnsi="Times New Roman"/>
          <w:b/>
          <w:i w:val="false"/>
          <w:color w:val="000000"/>
          <w:sz w:val="24"/>
        </w:rPr>
        <w:t>481—71.20</w:t>
      </w:r>
      <w:r>
        <w:rPr>
          <w:rFonts w:ascii="Times New Roman" w:hAnsi="Times New Roman"/>
          <w:b/>
          <w:i w:val="false"/>
          <w:color w:val="000000"/>
          <w:sz w:val="24"/>
        </w:rPr>
        <w:t xml:space="preserve">(135G) </w:t>
      </w:r>
      <w:r>
        <w:rPr>
          <w:rFonts w:ascii="Times New Roman" w:hAnsi="Times New Roman"/>
          <w:b/>
          <w:i w:val="false"/>
          <w:color w:val="000000"/>
          <w:sz w:val="24"/>
        </w:rPr>
        <w:t xml:space="preserve">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71.20(1)</w:t>
      </w:r>
      <w:r>
        <w:rPr>
          <w:rFonts w:ascii="Times New Roman" w:hAnsi="Times New Roman"/>
          <w:b w:val="false"/>
          <w:i w:val="false"/>
          <w:color w:val="000000"/>
          <w:sz w:val="24"/>
        </w:rPr>
        <w:t> </w:t>
      </w:r>
      <w:r>
        <w:rPr>
          <w:rFonts w:ascii="Times New Roman" w:hAnsi="Times New Roman"/>
          <w:b w:val="false"/>
          <w:i/>
          <w:color w:val="000000"/>
          <w:sz w:val="24"/>
        </w:rPr>
        <w:t xml:space="preserve">Resident record. </w:t>
      </w:r>
      <w:r>
        <w:rPr>
          <w:rFonts w:ascii="Times New Roman" w:hAnsi="Times New Roman"/>
          <w:b w:val="false"/>
          <w:i w:val="false"/>
          <w:color w:val="000000"/>
          <w:sz w:val="24"/>
        </w:rPr>
        <w:t>The licensee shall keep a permanent record about each resident with all entries current, dated, and signed, which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Name and previous address of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Birth date, sex, and marital status of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Provisional or admitting diagnosis;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biopsychosocial history sufficient to provide data on the resident’s relevant past history, present situation, social support system, community resource contacts, and other information relevant to appropriate treatment and discharge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name, telephone number and address of the licensed mental health professional completing the biopsychosocial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Name, address and telephone number of next of kin or legal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Name, address and telephone number of the person to be notified in case of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Pharmacy name, telephone number, and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Written orders for treatment and medications, signed by a physician, physician associate or advanced registered nurse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Any change in the resident’s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Notations describing the resident’s condition on admission, transfer, and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A copy of instructions given to the resident, legal representative, or facility in the event of discharge or transfer;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 xml:space="preserve">Individualized treatment and discharge or transfer plan pursuant to rule </w:t>
      </w:r>
      <w:hyperlink r:id="rId24">
        <w:r>
          <w:rPr>
            <w:rStyle w:val="Hyperlink"/>
            <w:rFonts w:ascii="Times New Roman" w:hAnsi="Times New Roman"/>
            <w:b w:val="false"/>
            <w:i w:val="false"/>
            <w:color w:val="000000"/>
            <w:sz w:val="24"/>
          </w:rPr>
          <w:t>481—71.14</w:t>
        </w:r>
      </w:hyperlink>
      <w:r>
        <w:rPr>
          <w:rFonts w:ascii="Times New Roman" w:hAnsi="Times New Roman"/>
          <w:b w:val="false"/>
          <w:i w:val="false"/>
          <w:color w:val="000000"/>
          <w:sz w:val="24"/>
        </w:rPr>
        <w:t>(135G);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 xml:space="preserve">Progress notes, including any use of seclusion or restraint pursuant to rule </w:t>
      </w:r>
      <w:hyperlink r:id="rId25">
        <w:r>
          <w:rPr>
            <w:rStyle w:val="Hyperlink"/>
            <w:rFonts w:ascii="Times New Roman" w:hAnsi="Times New Roman"/>
            <w:b w:val="false"/>
            <w:i w:val="false"/>
            <w:color w:val="000000"/>
            <w:sz w:val="24"/>
          </w:rPr>
          <w:t>481—71.16</w:t>
        </w:r>
      </w:hyperlink>
      <w:r>
        <w:rPr>
          <w:rFonts w:ascii="Times New Roman" w:hAnsi="Times New Roman"/>
          <w:b w:val="false"/>
          <w:i w:val="false"/>
          <w:color w:val="000000"/>
          <w:sz w:val="24"/>
        </w:rPr>
        <w:t>(135G), recorded by the physician, physician associate, advanced registered nurse practitioner or mental health professional and, when appropriate, others significantly involved in active treatment modalities. Progress notes must contain a concise assessment of the resident’s progress and recommendations for revising the treatment plan as indicated by the resident’s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The discharge summary, including a recapitulation of the resident’s hospitalization, recommendations for appropriate services concerning follow-up, and a brief summary of the resident’s condition on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71.20(2)</w:t>
      </w:r>
      <w:r>
        <w:rPr>
          <w:rFonts w:ascii="Times New Roman" w:hAnsi="Times New Roman"/>
          <w:b w:val="false"/>
          <w:i w:val="false"/>
          <w:color w:val="000000"/>
          <w:sz w:val="24"/>
        </w:rPr>
        <w:t> </w:t>
      </w:r>
      <w:r>
        <w:rPr>
          <w:rFonts w:ascii="Times New Roman" w:hAnsi="Times New Roman"/>
          <w:b w:val="false"/>
          <w:i/>
          <w:color w:val="000000"/>
          <w:sz w:val="24"/>
        </w:rPr>
        <w:t xml:space="preserve">Confidentiality of resident records. </w:t>
      </w:r>
      <w:r>
        <w:rPr>
          <w:rFonts w:ascii="Times New Roman" w:hAnsi="Times New Roman"/>
          <w:b w:val="false"/>
          <w:i w:val="false"/>
          <w:color w:val="000000"/>
          <w:sz w:val="24"/>
        </w:rPr>
        <w:t>The facility shall have policies and procedures providing that each resident is assured confidential treatment of all information, including information contained in electronic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facility shall limit access to any resident records to staff and consultants providing professional services to the resident. Information may be made available to staff only to the extent that the information is relevant to the staff person’s responsibilities and duties. This restriction does not preclude access by representatives of state or federal regulatory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resident, or the resident’s legal guardian, shall be entitled to examine all information and have the right to secure full copies of the record at reasonable cost upon request unless the physician, physician associate, advanced registered nurse practitioner or mental health professional determines the disclosure of the record or a section thereof is contraindicated, in which case the designated information will be redacted prior to making the record available to the resident. This determination and the reasons for it must be documented in the resident’s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71.20(3)</w:t>
      </w:r>
      <w:r>
        <w:rPr>
          <w:rFonts w:ascii="Times New Roman" w:hAnsi="Times New Roman"/>
          <w:b w:val="false"/>
          <w:i w:val="false"/>
          <w:color w:val="000000"/>
          <w:sz w:val="24"/>
        </w:rPr>
        <w:t> </w:t>
      </w:r>
      <w:r>
        <w:rPr>
          <w:rFonts w:ascii="Times New Roman" w:hAnsi="Times New Roman"/>
          <w:b w:val="false"/>
          <w:i/>
          <w:color w:val="000000"/>
          <w:sz w:val="24"/>
        </w:rPr>
        <w:t xml:space="preserve">Incident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subacute care facility shall maintain an incident record report and have available incident report forms.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report of every unusual occurrence shall be detailed on the printed incident report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person in charge at the time of the unusual occurrence shall oversee the preparation of and sign the incident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copy of the incident report shall be kept on file in the facility and be available for review and a part of administrative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71.20(4)</w:t>
      </w:r>
      <w:r>
        <w:rPr>
          <w:rFonts w:ascii="Times New Roman" w:hAnsi="Times New Roman"/>
          <w:b w:val="false"/>
          <w:i w:val="false"/>
          <w:color w:val="000000"/>
          <w:sz w:val="24"/>
        </w:rPr>
        <w:t> </w:t>
      </w:r>
      <w:r>
        <w:rPr>
          <w:rFonts w:ascii="Times New Roman" w:hAnsi="Times New Roman"/>
          <w:b w:val="false"/>
          <w:i/>
          <w:color w:val="000000"/>
          <w:sz w:val="24"/>
        </w:rPr>
        <w:t xml:space="preserve">Retention of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Records shall be retained in the facility for five years following termination of services to the resident, even when there is a change of ownership.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facility ceases to operate, the resident’s record shall be released to the facility to which the resident is transferred or, if no transfer occurs, to the individual’s physician or advanced registered nurse practitioner.</w:t>
      </w:r>
    </w:p>
    <w:p>
      <w:pPr>
        <w:spacing w:before="0" w:after="0" w:line="480"/>
        <w:ind w:left="120"/>
        <w:jc w:val="both"/>
      </w:pPr>
      <w:r>
        <w:rPr>
          <w:rFonts w:ascii="Times New Roman" w:hAnsi="Times New Roman"/>
          <w:b/>
          <w:i w:val="false"/>
          <w:color w:val="000000"/>
          <w:sz w:val="24"/>
        </w:rPr>
        <w:t>481—71.21</w:t>
      </w:r>
      <w:r>
        <w:rPr>
          <w:rFonts w:ascii="Times New Roman" w:hAnsi="Times New Roman"/>
          <w:b/>
          <w:i w:val="false"/>
          <w:color w:val="000000"/>
          <w:sz w:val="24"/>
        </w:rPr>
        <w:t xml:space="preserve">(135G) </w:t>
      </w:r>
      <w:r>
        <w:rPr>
          <w:rFonts w:ascii="Times New Roman" w:hAnsi="Times New Roman"/>
          <w:b/>
          <w:i w:val="false"/>
          <w:color w:val="000000"/>
          <w:sz w:val="24"/>
        </w:rPr>
        <w:t xml:space="preserve">Residents’ rights in 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71.21(1)</w:t>
      </w:r>
      <w:r>
        <w:rPr>
          <w:rFonts w:ascii="Times New Roman" w:hAnsi="Times New Roman"/>
          <w:b w:val="false"/>
          <w:i w:val="false"/>
          <w:color w:val="000000"/>
          <w:sz w:val="24"/>
        </w:rPr>
        <w:t> </w:t>
      </w:r>
      <w:r>
        <w:rPr>
          <w:rFonts w:ascii="Times New Roman" w:hAnsi="Times New Roman"/>
          <w:b w:val="false"/>
          <w:i/>
          <w:color w:val="000000"/>
          <w:sz w:val="24"/>
        </w:rPr>
        <w:t xml:space="preserve">Policies and procedures. </w:t>
      </w:r>
      <w:r>
        <w:rPr>
          <w:rFonts w:ascii="Times New Roman" w:hAnsi="Times New Roman"/>
          <w:b w:val="false"/>
          <w:i w:val="false"/>
          <w:color w:val="000000"/>
          <w:sz w:val="24"/>
        </w:rPr>
        <w:t>Each facility shall ensure that policies and procedures are written and implemented, include all of the following subrules, and govern all areas of service provided to staff and residents, their families or legal representatives. The policies and procedures shall be reviewed annually by the facility and be available to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71.21(2)</w:t>
      </w:r>
      <w:r>
        <w:rPr>
          <w:rFonts w:ascii="Times New Roman" w:hAnsi="Times New Roman"/>
          <w:b w:val="false"/>
          <w:i w:val="false"/>
          <w:color w:val="000000"/>
          <w:sz w:val="24"/>
        </w:rPr>
        <w:t> </w:t>
      </w:r>
      <w:r>
        <w:rPr>
          <w:rFonts w:ascii="Times New Roman" w:hAnsi="Times New Roman"/>
          <w:b w:val="false"/>
          <w:i/>
          <w:color w:val="000000"/>
          <w:sz w:val="24"/>
        </w:rPr>
        <w:t xml:space="preserve">Grievances. </w:t>
      </w:r>
      <w:r>
        <w:rPr>
          <w:rFonts w:ascii="Times New Roman" w:hAnsi="Times New Roman"/>
          <w:b w:val="false"/>
          <w:i w:val="false"/>
          <w:color w:val="000000"/>
          <w:sz w:val="24"/>
        </w:rPr>
        <w:t>Written policies and procedures shall include a method for submission of grievances and recommendations by residents or their responsible parties and a method to ensure a response and disposition by the facility. The written grievance procedure shall ensure protection of the resident from any form of reprisal or intimidation and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of an employee or an alternate staff person designated to be responsible for handling grievances and recommendations;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Methods to investigate and assess the validity of a grievance or recommendation, resolve grievances, and take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71.21(3)</w:t>
      </w:r>
      <w:r>
        <w:rPr>
          <w:rFonts w:ascii="Times New Roman" w:hAnsi="Times New Roman"/>
          <w:b w:val="false"/>
          <w:i w:val="false"/>
          <w:color w:val="000000"/>
          <w:sz w:val="24"/>
        </w:rPr>
        <w:t> </w:t>
      </w:r>
      <w:r>
        <w:rPr>
          <w:rFonts w:ascii="Times New Roman" w:hAnsi="Times New Roman"/>
          <w:b w:val="false"/>
          <w:i/>
          <w:color w:val="000000"/>
          <w:sz w:val="24"/>
        </w:rPr>
        <w:t xml:space="preserve">Informed of rights and responsibilities. </w:t>
      </w:r>
      <w:r>
        <w:rPr>
          <w:rFonts w:ascii="Times New Roman" w:hAnsi="Times New Roman"/>
          <w:b w:val="false"/>
          <w:i w:val="false"/>
          <w:color w:val="000000"/>
          <w:sz w:val="24"/>
        </w:rPr>
        <w:t>Policies and procedures shall include a provision that each resident be fully informed of the resident’s rights and responsibilities as a resident and of all rules governing resident conduct and responsibilities. This information must be provided upon admission.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facility shall inform residents about what they may expect from the facility and its staff and what is expected from residents.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Residents’ rights and responsibilities shall be presented in language understandable to the resident. If the facility serves residents who are non-English-speaking or deaf or hard of hearing, steps shall be taken to translate the information into the person’s native language or sign language. In the case of visually impaired residents, either Braille or a recording shall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statement shall be signed by the resident and legal guardian, if applicable, indicating an understanding of these rights and responsibilities. The statement shall be maintained in the record and a copy of the signed statement given to the resident or legal guardian.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71.21(4)</w:t>
      </w:r>
      <w:r>
        <w:rPr>
          <w:rFonts w:ascii="Times New Roman" w:hAnsi="Times New Roman"/>
          <w:b w:val="false"/>
          <w:i w:val="false"/>
          <w:color w:val="000000"/>
          <w:sz w:val="24"/>
        </w:rPr>
        <w:t> </w:t>
      </w:r>
      <w:r>
        <w:rPr>
          <w:rFonts w:ascii="Times New Roman" w:hAnsi="Times New Roman"/>
          <w:b w:val="false"/>
          <w:i/>
          <w:color w:val="000000"/>
          <w:sz w:val="24"/>
        </w:rPr>
        <w:t xml:space="preserve">Informed of health condition. </w:t>
      </w:r>
      <w:r>
        <w:rPr>
          <w:rFonts w:ascii="Times New Roman" w:hAnsi="Times New Roman"/>
          <w:b w:val="false"/>
          <w:i w:val="false"/>
          <w:color w:val="000000"/>
          <w:sz w:val="24"/>
        </w:rPr>
        <w:t>Each resident or legal guardian shall be fully informed by a physician, physician associate, advanced registered nurse practitioner or mental health professional of the resident’s health and medical condition unless medically contraindicated as documented by a physician, physician associate, advanced registered nurse practitioner or mental health professional in the resident’s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71.21(5)</w:t>
      </w:r>
      <w:r>
        <w:rPr>
          <w:rFonts w:ascii="Times New Roman" w:hAnsi="Times New Roman"/>
          <w:b w:val="false"/>
          <w:i w:val="false"/>
          <w:color w:val="000000"/>
          <w:sz w:val="24"/>
        </w:rPr>
        <w:t> </w:t>
      </w:r>
      <w:r>
        <w:rPr>
          <w:rFonts w:ascii="Times New Roman" w:hAnsi="Times New Roman"/>
          <w:b w:val="false"/>
          <w:i/>
          <w:color w:val="000000"/>
          <w:sz w:val="24"/>
        </w:rPr>
        <w:t xml:space="preserve">Posting of names. </w:t>
      </w:r>
      <w:r>
        <w:rPr>
          <w:rFonts w:ascii="Times New Roman" w:hAnsi="Times New Roman"/>
          <w:b w:val="false"/>
          <w:i w:val="false"/>
          <w:color w:val="000000"/>
          <w:sz w:val="24"/>
        </w:rPr>
        <w:t>The facility shall post in a prominent area the name, telephone number, and address of the survey agency, the local law enforcement agency and the protection and advocacy agency designated to provide to residents another course of redress.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71.21(6)</w:t>
      </w:r>
      <w:r>
        <w:rPr>
          <w:rFonts w:ascii="Times New Roman" w:hAnsi="Times New Roman"/>
          <w:b w:val="false"/>
          <w:i w:val="false"/>
          <w:color w:val="000000"/>
          <w:sz w:val="24"/>
        </w:rPr>
        <w:t> </w:t>
      </w:r>
      <w:r>
        <w:rPr>
          <w:rFonts w:ascii="Times New Roman" w:hAnsi="Times New Roman"/>
          <w:b w:val="false"/>
          <w:i/>
          <w:color w:val="000000"/>
          <w:sz w:val="24"/>
        </w:rPr>
        <w:t xml:space="preserve">Dignity preserved. </w:t>
      </w:r>
      <w:r>
        <w:rPr>
          <w:rFonts w:ascii="Times New Roman" w:hAnsi="Times New Roman"/>
          <w:b w:val="false"/>
          <w:i w:val="false"/>
          <w:color w:val="000000"/>
          <w:sz w:val="24"/>
        </w:rPr>
        <w:t>Each resident shall be treated with consideration, respect, and full recognition of the resident’s dignity and individuality, including privacy in treatment and in care of personal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Corporal punishment, verbal abuse, or any other activity that would be damaging to an individual’s self-respect shall be prohibited by written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Medication shall not be used as punishment, for the convenience of staff, or as a substitute for a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Staff shall display respect for residents when speaking with, caring for, or talking about them, as constant affirmation of the individuality and dignity of human beings.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Residents shall be examined and treated in a manner that maintains the privacy of their bodies, including a closed door to shield the resident from passersby. People not involved in the care of the residents cannot be present without the resident’s consent while the resident is being examined or treated.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Staff shall knock and be acknowledged before entering a resident’s room unless the resident is not capable of a response. This requirement does not apply under emergency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71.21(7)</w:t>
      </w:r>
      <w:r>
        <w:rPr>
          <w:rFonts w:ascii="Times New Roman" w:hAnsi="Times New Roman"/>
          <w:b w:val="false"/>
          <w:i w:val="false"/>
          <w:color w:val="000000"/>
          <w:sz w:val="24"/>
        </w:rPr>
        <w:t> </w:t>
      </w:r>
      <w:r>
        <w:rPr>
          <w:rFonts w:ascii="Times New Roman" w:hAnsi="Times New Roman"/>
          <w:b w:val="false"/>
          <w:i/>
          <w:color w:val="000000"/>
          <w:sz w:val="24"/>
        </w:rPr>
        <w:t xml:space="preserve">Communications. </w:t>
      </w:r>
      <w:r>
        <w:rPr>
          <w:rFonts w:ascii="Times New Roman" w:hAnsi="Times New Roman"/>
          <w:b w:val="false"/>
          <w:i w:val="false"/>
          <w:color w:val="000000"/>
          <w:sz w:val="24"/>
        </w:rPr>
        <w:t>Each resident may communicate, associate, and meet privately with persons of the resident’s choice, unless to do so would infringe upon the rights of other residents. Each resident may send and receive personal mail unopened unless prohibited in the treatment plan, which requires explicit approval of the resident or legal guardian.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71.21(8)</w:t>
      </w:r>
      <w:r>
        <w:rPr>
          <w:rFonts w:ascii="Times New Roman" w:hAnsi="Times New Roman"/>
          <w:b w:val="false"/>
          <w:i w:val="false"/>
          <w:color w:val="000000"/>
          <w:sz w:val="24"/>
        </w:rPr>
        <w:t> </w:t>
      </w:r>
      <w:r>
        <w:rPr>
          <w:rFonts w:ascii="Times New Roman" w:hAnsi="Times New Roman"/>
          <w:b w:val="false"/>
          <w:i/>
          <w:color w:val="000000"/>
          <w:sz w:val="24"/>
        </w:rPr>
        <w:t xml:space="preserve">Visiting hours. </w:t>
      </w:r>
      <w:r>
        <w:rPr>
          <w:rFonts w:ascii="Times New Roman" w:hAnsi="Times New Roman"/>
          <w:b w:val="false"/>
          <w:i w:val="false"/>
          <w:color w:val="000000"/>
          <w:sz w:val="24"/>
        </w:rPr>
        <w:t>Subject to reasonable scheduling restrictions, visiting policies and procedures shall permit residents to receive visits from anyone they wish. Visiting hours shall be posted.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Reasonable, regular visiting hours shall not be less than 12 hours per day and take into consideration the special circumstances of each visitor. A particular visitor(s) may be restricted by the facility for one of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resident refuses to see the visitor(s).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visit would not be in accordance with the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visitor’s behavior is unreasonably disruptive to the functioning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Reasons for denial of visitation shall be documented in the resident’s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71.21(9)</w:t>
      </w:r>
      <w:r>
        <w:rPr>
          <w:rFonts w:ascii="Times New Roman" w:hAnsi="Times New Roman"/>
          <w:b w:val="false"/>
          <w:i w:val="false"/>
          <w:color w:val="000000"/>
          <w:sz w:val="24"/>
        </w:rPr>
        <w:t> </w:t>
      </w:r>
      <w:r>
        <w:rPr>
          <w:rFonts w:ascii="Times New Roman" w:hAnsi="Times New Roman"/>
          <w:b w:val="false"/>
          <w:i/>
          <w:color w:val="000000"/>
          <w:sz w:val="24"/>
        </w:rPr>
        <w:t xml:space="preserve">Privacy. </w:t>
      </w:r>
      <w:r>
        <w:rPr>
          <w:rFonts w:ascii="Times New Roman" w:hAnsi="Times New Roman"/>
          <w:b w:val="false"/>
          <w:i w:val="false"/>
          <w:color w:val="000000"/>
          <w:sz w:val="24"/>
        </w:rPr>
        <w:t>Space shall be provided for residents to receive visitors in comfort and privacy.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71.21(10)</w:t>
      </w:r>
      <w:r>
        <w:rPr>
          <w:rFonts w:ascii="Times New Roman" w:hAnsi="Times New Roman"/>
          <w:b w:val="false"/>
          <w:i w:val="false"/>
          <w:color w:val="000000"/>
          <w:sz w:val="24"/>
        </w:rPr>
        <w:t> </w:t>
      </w:r>
      <w:r>
        <w:rPr>
          <w:rFonts w:ascii="Times New Roman" w:hAnsi="Times New Roman"/>
          <w:b w:val="false"/>
          <w:i/>
          <w:color w:val="000000"/>
          <w:sz w:val="24"/>
        </w:rPr>
        <w:t xml:space="preserve">Telephone calls. </w:t>
      </w:r>
      <w:r>
        <w:rPr>
          <w:rFonts w:ascii="Times New Roman" w:hAnsi="Times New Roman"/>
          <w:b w:val="false"/>
          <w:i w:val="false"/>
          <w:color w:val="000000"/>
          <w:sz w:val="24"/>
        </w:rPr>
        <w:t>Telephones shall be available and accessible for residents to make and receive calls with privacy. Residents who need help shall be assisted in using the telephone.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71.21(11)</w:t>
      </w:r>
      <w:r>
        <w:rPr>
          <w:rFonts w:ascii="Times New Roman" w:hAnsi="Times New Roman"/>
          <w:b w:val="false"/>
          <w:i w:val="false"/>
          <w:color w:val="000000"/>
          <w:sz w:val="24"/>
        </w:rPr>
        <w:t> </w:t>
      </w:r>
      <w:r>
        <w:rPr>
          <w:rFonts w:ascii="Times New Roman" w:hAnsi="Times New Roman"/>
          <w:b w:val="false"/>
          <w:i/>
          <w:color w:val="000000"/>
          <w:sz w:val="24"/>
        </w:rPr>
        <w:t xml:space="preserve">Mail. </w:t>
      </w:r>
      <w:r>
        <w:rPr>
          <w:rFonts w:ascii="Times New Roman" w:hAnsi="Times New Roman"/>
          <w:b w:val="false"/>
          <w:i w:val="false"/>
          <w:color w:val="000000"/>
          <w:sz w:val="24"/>
        </w:rPr>
        <w:t>Arrangements shall be made to provide assistance to residents who require help in reading or sending mail.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71.21(12)</w:t>
      </w:r>
      <w:r>
        <w:rPr>
          <w:rFonts w:ascii="Times New Roman" w:hAnsi="Times New Roman"/>
          <w:b w:val="false"/>
          <w:i w:val="false"/>
          <w:color w:val="000000"/>
          <w:sz w:val="24"/>
        </w:rPr>
        <w:t> </w:t>
      </w:r>
      <w:r>
        <w:rPr>
          <w:rFonts w:ascii="Times New Roman" w:hAnsi="Times New Roman"/>
          <w:b w:val="false"/>
          <w:i/>
          <w:color w:val="000000"/>
          <w:sz w:val="24"/>
        </w:rPr>
        <w:t xml:space="preserve">Permission to leave premises. </w:t>
      </w:r>
      <w:r>
        <w:rPr>
          <w:rFonts w:ascii="Times New Roman" w:hAnsi="Times New Roman"/>
          <w:b w:val="false"/>
          <w:i w:val="false"/>
          <w:color w:val="000000"/>
          <w:sz w:val="24"/>
        </w:rPr>
        <w:t>Residents shall be permitted to leave the facility and environs at reasonable times if permitted in writing by the physician, physician associate, advanced registered nurse practitioner, mental health professional, or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71.21(13)</w:t>
      </w:r>
      <w:r>
        <w:rPr>
          <w:rFonts w:ascii="Times New Roman" w:hAnsi="Times New Roman"/>
          <w:b w:val="false"/>
          <w:i w:val="false"/>
          <w:color w:val="000000"/>
          <w:sz w:val="24"/>
        </w:rPr>
        <w:t> </w:t>
      </w:r>
      <w:r>
        <w:rPr>
          <w:rFonts w:ascii="Times New Roman" w:hAnsi="Times New Roman"/>
          <w:b w:val="false"/>
          <w:i/>
          <w:color w:val="000000"/>
          <w:sz w:val="24"/>
        </w:rPr>
        <w:t xml:space="preserve">Resident activities. </w:t>
      </w:r>
      <w:r>
        <w:rPr>
          <w:rFonts w:ascii="Times New Roman" w:hAnsi="Times New Roman"/>
          <w:b w:val="false"/>
          <w:i w:val="false"/>
          <w:color w:val="000000"/>
          <w:sz w:val="24"/>
        </w:rPr>
        <w:t>Each resident may participate in recreational activities as desired unless contraindicated for reasons documented in the resident’s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71.21(14)</w:t>
      </w:r>
      <w:r>
        <w:rPr>
          <w:rFonts w:ascii="Times New Roman" w:hAnsi="Times New Roman"/>
          <w:b w:val="false"/>
          <w:i w:val="false"/>
          <w:color w:val="000000"/>
          <w:sz w:val="24"/>
        </w:rPr>
        <w:t> </w:t>
      </w:r>
      <w:r>
        <w:rPr>
          <w:rFonts w:ascii="Times New Roman" w:hAnsi="Times New Roman"/>
          <w:b w:val="false"/>
          <w:i/>
          <w:color w:val="000000"/>
          <w:sz w:val="24"/>
        </w:rPr>
        <w:t xml:space="preserve">Resident property. </w:t>
      </w:r>
      <w:r>
        <w:rPr>
          <w:rFonts w:ascii="Times New Roman" w:hAnsi="Times New Roman"/>
          <w:b w:val="false"/>
          <w:i w:val="false"/>
          <w:color w:val="000000"/>
          <w:sz w:val="24"/>
        </w:rPr>
        <w:t>Each resident may retain and use personal clothing and possessions, as space permits, and cash and other financial instruments provided that the use of such items is not otherwise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personal property shall be kept in a secure location that is convenient to the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Residents shall be advised, prior to or at the time of admission, of the kinds and amounts of clothing and possessions permitted for personal use and whether the facility will accept responsibility for maintaining these items (e.g., cleaning and laundry).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personal clothing or possessions retained by the facility for the resident shall be identified and recorded on admission and the record placed on the resident’s chart. The facility shall be responsible for secure storage of items and returning the items to the resident promptly upon request or upon discharge from the facility.</w:t>
      </w:r>
    </w:p>
    <w:p>
      <w:pPr>
        <w:spacing w:before="0" w:after="0" w:line="480"/>
        <w:ind w:left="120"/>
        <w:jc w:val="both"/>
      </w:pPr>
      <w:r>
        <w:rPr>
          <w:rFonts w:ascii="Times New Roman" w:hAnsi="Times New Roman"/>
          <w:b/>
          <w:i w:val="false"/>
          <w:color w:val="000000"/>
          <w:sz w:val="24"/>
        </w:rPr>
        <w:t>481—71.22</w:t>
      </w:r>
      <w:r>
        <w:rPr>
          <w:rFonts w:ascii="Times New Roman" w:hAnsi="Times New Roman"/>
          <w:b/>
          <w:i w:val="false"/>
          <w:color w:val="000000"/>
          <w:sz w:val="24"/>
        </w:rPr>
        <w:t xml:space="preserve">(135G) </w:t>
      </w:r>
      <w:r>
        <w:rPr>
          <w:rFonts w:ascii="Times New Roman" w:hAnsi="Times New Roman"/>
          <w:b/>
          <w:i w:val="false"/>
          <w:color w:val="000000"/>
          <w:sz w:val="24"/>
        </w:rPr>
        <w:t xml:space="preserve">Health and safety.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71.22(1)</w:t>
      </w:r>
      <w:r>
        <w:rPr>
          <w:rFonts w:ascii="Times New Roman" w:hAnsi="Times New Roman"/>
          <w:b w:val="false"/>
          <w:i w:val="false"/>
          <w:color w:val="000000"/>
          <w:sz w:val="24"/>
        </w:rPr>
        <w:t> </w:t>
      </w:r>
      <w:r>
        <w:rPr>
          <w:rFonts w:ascii="Times New Roman" w:hAnsi="Times New Roman"/>
          <w:b w:val="false"/>
          <w:i/>
          <w:color w:val="000000"/>
          <w:sz w:val="24"/>
        </w:rPr>
        <w:t xml:space="preserve">Emergency care. </w:t>
      </w:r>
      <w:r>
        <w:rPr>
          <w:rFonts w:ascii="Times New Roman" w:hAnsi="Times New Roman"/>
          <w:b w:val="false"/>
          <w:i w:val="false"/>
          <w:color w:val="000000"/>
          <w:sz w:val="24"/>
        </w:rPr>
        <w:t>Each facility shall have written policies and procedures for emergency medical and psychiatric treatment, which include immediate notification by the person in charge to the resident’s physician, physician associate, advanced registered nurse practitioner or mental health professional of any accident, injury or adverse change in the resident’s condition. “Immediate” for purposes of this subrule means within 24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71.22(2)</w:t>
      </w:r>
      <w:r>
        <w:rPr>
          <w:rFonts w:ascii="Times New Roman" w:hAnsi="Times New Roman"/>
          <w:b w:val="false"/>
          <w:i w:val="false"/>
          <w:color w:val="000000"/>
          <w:sz w:val="24"/>
        </w:rPr>
        <w:t> </w:t>
      </w:r>
      <w:r>
        <w:rPr>
          <w:rFonts w:ascii="Times New Roman" w:hAnsi="Times New Roman"/>
          <w:b w:val="false"/>
          <w:i/>
          <w:color w:val="000000"/>
          <w:sz w:val="24"/>
        </w:rPr>
        <w:t xml:space="preserve">First-aid kit. </w:t>
      </w:r>
      <w:r>
        <w:rPr>
          <w:rFonts w:ascii="Times New Roman" w:hAnsi="Times New Roman"/>
          <w:b w:val="false"/>
          <w:i w:val="false"/>
          <w:color w:val="000000"/>
          <w:sz w:val="24"/>
        </w:rPr>
        <w:t>A first-aid emergency kit shall be available on each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71.22(3)</w:t>
      </w:r>
      <w:r>
        <w:rPr>
          <w:rFonts w:ascii="Times New Roman" w:hAnsi="Times New Roman"/>
          <w:b w:val="false"/>
          <w:i w:val="false"/>
          <w:color w:val="000000"/>
          <w:sz w:val="24"/>
        </w:rPr>
        <w:t> </w:t>
      </w:r>
      <w:r>
        <w:rPr>
          <w:rFonts w:ascii="Times New Roman" w:hAnsi="Times New Roman"/>
          <w:b w:val="false"/>
          <w:i/>
          <w:color w:val="000000"/>
          <w:sz w:val="24"/>
        </w:rPr>
        <w:t xml:space="preserve">Infection control. </w:t>
      </w:r>
      <w:r>
        <w:rPr>
          <w:rFonts w:ascii="Times New Roman" w:hAnsi="Times New Roman"/>
          <w:b w:val="false"/>
          <w:i w:val="false"/>
          <w:color w:val="000000"/>
          <w:sz w:val="24"/>
        </w:rPr>
        <w:t>Each facility shall have a written and implemented infection control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71.22(4)</w:t>
      </w:r>
      <w:r>
        <w:rPr>
          <w:rFonts w:ascii="Times New Roman" w:hAnsi="Times New Roman"/>
          <w:b w:val="false"/>
          <w:i w:val="false"/>
          <w:color w:val="000000"/>
          <w:sz w:val="24"/>
        </w:rPr>
        <w:t> </w:t>
      </w:r>
      <w:r>
        <w:rPr>
          <w:rFonts w:ascii="Times New Roman" w:hAnsi="Times New Roman"/>
          <w:b w:val="false"/>
          <w:i/>
          <w:color w:val="000000"/>
          <w:sz w:val="24"/>
        </w:rPr>
        <w:t xml:space="preserve">Safe environment. </w:t>
      </w:r>
      <w:r>
        <w:rPr>
          <w:rFonts w:ascii="Times New Roman" w:hAnsi="Times New Roman"/>
          <w:b w:val="false"/>
          <w:i w:val="false"/>
          <w:color w:val="000000"/>
          <w:sz w:val="24"/>
        </w:rPr>
        <w:t>The licensee of a subacute care facility is responsible for the provision and maintenance of a safe environment for residents and personnel. The subacute care facility shall meet the fire and safety rules as promulgated by the department’s fire safety bureau.</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71.22(5)</w:t>
      </w:r>
      <w:r>
        <w:rPr>
          <w:rFonts w:ascii="Times New Roman" w:hAnsi="Times New Roman"/>
          <w:b w:val="false"/>
          <w:i w:val="false"/>
          <w:color w:val="000000"/>
          <w:sz w:val="24"/>
        </w:rPr>
        <w:t> </w:t>
      </w:r>
      <w:r>
        <w:rPr>
          <w:rFonts w:ascii="Times New Roman" w:hAnsi="Times New Roman"/>
          <w:b w:val="false"/>
          <w:i/>
          <w:color w:val="000000"/>
          <w:sz w:val="24"/>
        </w:rPr>
        <w:t xml:space="preserve">Disaster. </w:t>
      </w:r>
      <w:r>
        <w:rPr>
          <w:rFonts w:ascii="Times New Roman" w:hAnsi="Times New Roman"/>
          <w:b w:val="false"/>
          <w:i w:val="false"/>
          <w:color w:val="000000"/>
          <w:sz w:val="24"/>
        </w:rPr>
        <w:t>The licensee shall have a posted, written emergency plan to be followed in the event of fire, tornado, explosion, or other emergency. Documented training shall be provided to ensure that all employees are knowledgeable of the emergency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71.22(6)</w:t>
      </w:r>
      <w:r>
        <w:rPr>
          <w:rFonts w:ascii="Times New Roman" w:hAnsi="Times New Roman"/>
          <w:b w:val="false"/>
          <w:i w:val="false"/>
          <w:color w:val="000000"/>
          <w:sz w:val="24"/>
        </w:rPr>
        <w:t> </w:t>
      </w:r>
      <w:r>
        <w:rPr>
          <w:rFonts w:ascii="Times New Roman" w:hAnsi="Times New Roman"/>
          <w:b w:val="false"/>
          <w:i/>
          <w:color w:val="000000"/>
          <w:sz w:val="24"/>
        </w:rPr>
        <w:t xml:space="preserve">Smoking. </w:t>
      </w:r>
      <w:r>
        <w:rPr>
          <w:rFonts w:ascii="Times New Roman" w:hAnsi="Times New Roman"/>
          <w:b w:val="false"/>
          <w:i w:val="false"/>
          <w:color w:val="000000"/>
          <w:sz w:val="24"/>
        </w:rPr>
        <w:t xml:space="preserve">A subacute care facility shall follow the smokefree air Act, Iowa Code chapter </w:t>
      </w:r>
      <w:hyperlink r:id="rId26">
        <w:r>
          <w:rPr>
            <w:rStyle w:val="Hyperlink"/>
            <w:rFonts w:ascii="Times New Roman" w:hAnsi="Times New Roman"/>
            <w:b w:val="false"/>
            <w:i w:val="false"/>
            <w:color w:val="000000"/>
            <w:sz w:val="24"/>
          </w:rPr>
          <w:t>142D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7">
        <w:r>
          <w:rPr>
            <w:rStyle w:val="Hyperlink"/>
            <w:rFonts w:ascii="Times New Roman" w:hAnsi="Times New Roman"/>
            <w:b w:val="false"/>
            <w:i w:val="false"/>
            <w:color w:val="000000"/>
            <w:sz w:val="24"/>
          </w:rPr>
          <w:t>135G</w:t>
        </w:r>
      </w:hyperlink>
      <w:r>
        <w:rPr>
          <w:rFonts w:ascii="Times New Roman" w:hAnsi="Times New Roman"/>
          <w:b w:val="false"/>
          <w:i w:val="false"/>
          <w:color w:val="000000"/>
          <w:sz w:val="24"/>
        </w:rPr>
        <w:t>.</w:t>
      </w:r>
    </w:p>
    <w:sectPr>
      <w:footerReference r:id="rId2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jeremiah.junker@dia.iowa.gov" Type="http://schemas.openxmlformats.org/officeDocument/2006/relationships/hyperlink" Id="rId4"/>
    <Relationship TargetMode="External" Target="https://www.legis.iowa.gov/docs/ico/chapter/135G.1.pdf" Type="http://schemas.openxmlformats.org/officeDocument/2006/relationships/hyperlink" Id="rId5"/>
    <Relationship TargetMode="External" Target="https://www.legis.iowa.gov/docs/iac/rule/481.71.13.pdf" Type="http://schemas.openxmlformats.org/officeDocument/2006/relationships/hyperlink" Id="rId6"/>
    <Relationship TargetMode="External" Target="https://www.legis.iowa.gov/docs/ico/chapter/135G.pdf" Type="http://schemas.openxmlformats.org/officeDocument/2006/relationships/hyperlink" Id="rId7"/>
    <Relationship TargetMode="External" Target="https://www.legis.iowa.gov/docs/ico/chapter/135G.4.pdf" Type="http://schemas.openxmlformats.org/officeDocument/2006/relationships/hyperlink" Id="rId8"/>
    <Relationship TargetMode="External" Target="https://www.legis.iowa.gov/docs/iac/chapter/7.2504.pdf" Type="http://schemas.openxmlformats.org/officeDocument/2006/relationships/hyperlink" Id="rId9"/>
    <Relationship TargetMode="External" Target="https://www.legis.iowa.gov/docs/ico/chapter/135G.8.pdf" Type="http://schemas.openxmlformats.org/officeDocument/2006/relationships/hyperlink" Id="rId10"/>
    <Relationship TargetMode="External" Target="https://www.legis.iowa.gov/docs/ico/chapter/228.1.pdf" Type="http://schemas.openxmlformats.org/officeDocument/2006/relationships/hyperlink" Id="rId11"/>
    <Relationship TargetMode="External" Target="https://www.legis.iowa.gov/docs/iac/rule/481.71.10.pdf" Type="http://schemas.openxmlformats.org/officeDocument/2006/relationships/hyperlink" Id="rId12"/>
    <Relationship TargetMode="External" Target="https://www.legis.iowa.gov/docs/ico/chapter/228.1.pdf" Type="http://schemas.openxmlformats.org/officeDocument/2006/relationships/hyperlink" Id="rId13"/>
    <Relationship TargetMode="External" Target="https://www.legis.iowa.gov/docs/iac/chapter/481.59.pdf" Type="http://schemas.openxmlformats.org/officeDocument/2006/relationships/hyperlink" Id="rId14"/>
    <Relationship TargetMode="External" Target="https://www.legis.iowa.gov/docs/iac/rule/481.71.13.pdf" Type="http://schemas.openxmlformats.org/officeDocument/2006/relationships/hyperlink" Id="rId15"/>
    <Relationship TargetMode="External" Target="https://www.legis.iowa.gov/docs/ico/chapter/228.1.pdf" Type="http://schemas.openxmlformats.org/officeDocument/2006/relationships/hyperlink" Id="rId16"/>
    <Relationship TargetMode="External" Target="https://www.legis.iowa.gov/docs/iac/rule/481.71.13.pdf" Type="http://schemas.openxmlformats.org/officeDocument/2006/relationships/hyperlink" Id="rId17"/>
    <Relationship TargetMode="External" Target="https://www.legis.iowa.gov/docs/iac/rule/481.71.13.pdf" Type="http://schemas.openxmlformats.org/officeDocument/2006/relationships/hyperlink" Id="rId18"/>
    <Relationship TargetMode="External" Target="https://www.legis.iowa.gov/docs/iac/rule/481.71.13.pdf" Type="http://schemas.openxmlformats.org/officeDocument/2006/relationships/hyperlink" Id="rId19"/>
    <Relationship TargetMode="External" Target="https://www.legis.iowa.gov/docs/iac/rule/481.71.20.pdf" Type="http://schemas.openxmlformats.org/officeDocument/2006/relationships/hyperlink" Id="rId20"/>
    <Relationship TargetMode="External" Target="https://www.legis.iowa.gov/docs/ico/chapter/135G.3.pdf" Type="http://schemas.openxmlformats.org/officeDocument/2006/relationships/hyperlink" Id="rId21"/>
    <Relationship TargetMode="External" Target="https://www.legis.iowa.gov/docs/iac/rule/481.71.17.pdf" Type="http://schemas.openxmlformats.org/officeDocument/2006/relationships/hyperlink" Id="rId22"/>
    <Relationship TargetMode="External" Target="https://www.legis.iowa.gov/docs/ico/chapter/137F.2.pdf" Type="http://schemas.openxmlformats.org/officeDocument/2006/relationships/hyperlink" Id="rId23"/>
    <Relationship TargetMode="External" Target="https://www.legis.iowa.gov/docs/iac/rule/481.71.14.pdf" Type="http://schemas.openxmlformats.org/officeDocument/2006/relationships/hyperlink" Id="rId24"/>
    <Relationship TargetMode="External" Target="https://www.legis.iowa.gov/docs/iac/rule/481.71.16.pdf" Type="http://schemas.openxmlformats.org/officeDocument/2006/relationships/hyperlink" Id="rId25"/>
    <Relationship TargetMode="External" Target="https://www.legis.iowa.gov/docs/ico/chapter/142D.pdf" Type="http://schemas.openxmlformats.org/officeDocument/2006/relationships/hyperlink" Id="rId26"/>
    <Relationship TargetMode="External" Target="https://www.legis.iowa.gov/docs/ico/chapter/135G.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